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40"/>
      </w:pPr>
      <w:r>
        <w:rPr>
          <w:rFonts w:ascii="Calibri" w:cs="Calibri" w:eastAsia="Calibri" w:hAnsi="Calibri"/>
          <w:b/>
          <w:bCs/>
          <w:color w:val="4F46E5"/>
          <w:sz w:val="16"/>
          <w:szCs w:val="16"/>
        </w:rPr>
        <w:t xml:space="preserve">ARTIFACT 3</w:t>
      </w:r>
    </w:p>
    <w:p>
      <w:pPr>
        <w:spacing w:after="40" w:before="0" w:line="240"/>
      </w:pPr>
      <w:r>
        <w:rPr>
          <w:rFonts w:ascii="Calibri" w:cs="Calibri" w:eastAsia="Calibri" w:hAnsi="Calibri"/>
          <w:b/>
          <w:bCs/>
          <w:color w:val="2A3439"/>
          <w:sz w:val="32"/>
          <w:szCs w:val="32"/>
        </w:rPr>
        <w:t xml:space="preserve">Shared metric dictionary</w:t>
      </w:r>
    </w:p>
    <w:p>
      <w:pPr>
        <w:spacing w:after="100" w:before="0" w:line="240"/>
      </w:pPr>
      <w:r>
        <w:rPr>
          <w:rFonts w:ascii="Calibri" w:cs="Calibri" w:eastAsia="Calibri" w:hAnsi="Calibri"/>
          <w:i/>
          <w:iCs/>
          <w:color w:val="5C676C"/>
          <w:sz w:val="17"/>
          <w:szCs w:val="17"/>
        </w:rPr>
        <w:t xml:space="preserve">Eight to twelve terms. One sentence each. Finance co-signs revenue terms. Old dashboards that contradict this page are retired.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50"/>
        <w:gridCol w:w="2750"/>
        <w:gridCol w:w="2750"/>
        <w:gridCol w:w="2750"/>
      </w:tblGrid>
      <w:tr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5C676C"/>
                <w:sz w:val="14"/>
                <w:szCs w:val="14"/>
              </w:rPr>
              <w:t xml:space="preserve">Owner (referee)</w:t>
            </w:r>
          </w:p>
        </w:tc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2A3439"/>
                <w:sz w:val="15"/>
                <w:szCs w:val="15"/>
              </w:rPr>
              <w:t xml:space="preserve">[          ]</w:t>
            </w:r>
          </w:p>
        </w:tc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5C676C"/>
                <w:sz w:val="14"/>
                <w:szCs w:val="14"/>
              </w:rPr>
              <w:t xml:space="preserve">Finance co-signer</w:t>
            </w:r>
          </w:p>
        </w:tc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2A3439"/>
                <w:sz w:val="15"/>
                <w:szCs w:val="15"/>
              </w:rPr>
              <w:t xml:space="preserve">[          ]</w:t>
            </w:r>
          </w:p>
        </w:tc>
      </w:tr>
    </w:tbl>
    <w:p>
      <w:pPr>
        <w:spacing w:after="60" w:before="0" w:line="240"/>
      </w:pPr>
      <w:r>
        <w:rPr>
          <w:rFonts w:ascii="Calibri" w:cs="Calibri" w:eastAsia="Calibri" w:hAnsi="Calibri"/>
          <w:color w:val="2A3439"/>
          <w:sz w:val="17"/>
          <w:szCs w:val="17"/>
        </w:rPr>
        <w:t xml:space="preserve"> 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4200"/>
        <w:gridCol w:w="2200"/>
        <w:gridCol w:w="2800"/>
      </w:tblGrid>
      <w:tr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Term</w:t>
            </w:r>
          </w:p>
        </w:tc>
        <w:tc>
          <w:tcPr>
            <w:tcW w:type="dxa" w:w="4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One-sentence definition (legal in exec meetings)</w:t>
            </w:r>
          </w:p>
        </w:tc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System of record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Notes / inclusions</w:t>
            </w:r>
          </w:p>
        </w:tc>
      </w:tr>
      <w:tr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4"/>
                <w:szCs w:val="14"/>
              </w:rPr>
              <w:t xml:space="preserve">ICP / segment</w:t>
            </w:r>
          </w:p>
        </w:tc>
        <w:tc>
          <w:tcPr>
            <w:tcW w:type="dxa" w:w="4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4"/>
                <w:szCs w:val="14"/>
              </w:rPr>
              <w:t xml:space="preserve">Lead</w:t>
            </w:r>
          </w:p>
        </w:tc>
        <w:tc>
          <w:tcPr>
            <w:tcW w:type="dxa" w:w="4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4"/>
                <w:szCs w:val="14"/>
              </w:rPr>
              <w:t xml:space="preserve">MQL</w:t>
            </w:r>
          </w:p>
        </w:tc>
        <w:tc>
          <w:tcPr>
            <w:tcW w:type="dxa" w:w="4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4"/>
                <w:szCs w:val="14"/>
              </w:rPr>
              <w:t xml:space="preserve">SQL</w:t>
            </w:r>
          </w:p>
        </w:tc>
        <w:tc>
          <w:tcPr>
            <w:tcW w:type="dxa" w:w="4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4"/>
                <w:szCs w:val="14"/>
              </w:rPr>
              <w:t xml:space="preserve">Opportunity</w:t>
            </w:r>
          </w:p>
        </w:tc>
        <w:tc>
          <w:tcPr>
            <w:tcW w:type="dxa" w:w="4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4"/>
                <w:szCs w:val="14"/>
              </w:rPr>
              <w:t xml:space="preserve">Pipeline (exec number)</w:t>
            </w:r>
          </w:p>
        </w:tc>
        <w:tc>
          <w:tcPr>
            <w:tcW w:type="dxa" w:w="4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4"/>
                <w:szCs w:val="14"/>
              </w:rPr>
              <w:t xml:space="preserve">Bookings vs revenue</w:t>
            </w:r>
          </w:p>
        </w:tc>
        <w:tc>
          <w:tcPr>
            <w:tcW w:type="dxa" w:w="4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4"/>
                <w:szCs w:val="14"/>
              </w:rPr>
              <w:t xml:space="preserve">New / expansion / renewal</w:t>
            </w:r>
          </w:p>
        </w:tc>
        <w:tc>
          <w:tcPr>
            <w:tcW w:type="dxa" w:w="4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4"/>
                <w:szCs w:val="14"/>
              </w:rPr>
              <w:t xml:space="preserve">GRR / NRR / churn</w:t>
            </w:r>
          </w:p>
        </w:tc>
        <w:tc>
          <w:tcPr>
            <w:tcW w:type="dxa" w:w="4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4"/>
                <w:szCs w:val="14"/>
              </w:rPr>
              <w:t xml:space="preserve">Forecast categories</w:t>
            </w:r>
          </w:p>
        </w:tc>
        <w:tc>
          <w:tcPr>
            <w:tcW w:type="dxa" w:w="4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4"/>
                <w:szCs w:val="14"/>
              </w:rPr>
              <w:t xml:space="preserve">Attribution model</w:t>
            </w:r>
          </w:p>
        </w:tc>
        <w:tc>
          <w:tcPr>
            <w:tcW w:type="dxa" w:w="4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4"/>
                <w:szCs w:val="14"/>
              </w:rPr>
              <w:t xml:space="preserve">[Add only if needed]</w:t>
            </w:r>
          </w:p>
        </w:tc>
        <w:tc>
          <w:tcPr>
            <w:tcW w:type="dxa" w:w="4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</w:tbl>
    <w:p>
      <w:pPr>
        <w:spacing w:after="80" w:before="80" w:line="240"/>
      </w:pPr>
      <w:r>
        <w:rPr>
          <w:rFonts w:ascii="Calibri" w:cs="Calibri" w:eastAsia="Calibri" w:hAnsi="Calibri"/>
          <w:i/>
          <w:iCs/>
          <w:color w:val="5C676C"/>
          <w:sz w:val="16"/>
          <w:szCs w:val="16"/>
        </w:rPr>
        <w:t xml:space="preserve">Change control: referee proposes. Finance co-signs bookings, revenue, NRR. Sponsor breaks ties. Not a Slack poll.</w:t>
      </w:r>
    </w:p>
    <w:sectPr>
      <w:headerReference w:type="default" r:id="rId7"/>
      <w:footerReference w:type="default" r:id="rId8"/>
      <w:pgSz w:w="12240" w:h="15840" w:orient="portrait"/>
      <w:pgMar w:top="680" w:right="620" w:bottom="620" w:left="6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i/>
        <w:iCs/>
        <w:color w:val="5C676C"/>
        <w:sz w:val="13"/>
        <w:szCs w:val="13"/>
      </w:rPr>
      <w:t xml:space="preserve">One page. Use with Session 3. Charter workstream 1.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</w:pPr>
    <w:r>
      <w:rPr>
        <w:rFonts w:ascii="Calibri" w:cs="Calibri" w:eastAsia="Calibri" w:hAnsi="Calibri"/>
        <w:b/>
        <w:bCs/>
        <w:color w:val="2A3439"/>
        <w:sz w:val="14"/>
        <w:szCs w:val="14"/>
      </w:rPr>
      <w:t xml:space="preserve">RevOps_Artifact_Metric_Dictionary</w:t>
    </w:r>
    <w:r>
      <w:rPr>
        <w:rFonts w:ascii="Calibri" w:cs="Calibri" w:eastAsia="Calibri" w:hAnsi="Calibri"/>
        <w:color w:val="5C676C"/>
        <w:sz w:val="14"/>
        <w:szCs w:val="14"/>
      </w:rPr>
      <w:t xml:space="preserve">     Educational resource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2026-09-17T17:48:26.026Z</dcterms:created>
  <dcterms:modified xsi:type="dcterms:W3CDTF">2026-09-17T17:48:26.026Z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