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rFonts w:ascii="Calibri" w:cs="Calibri" w:eastAsia="Calibri" w:hAnsi="Calibri"/>
          <w:b/>
          <w:bCs/>
          <w:color w:val="2A3439"/>
          <w:sz w:val="36"/>
          <w:szCs w:val="36"/>
        </w:rPr>
        <w:t xml:space="preserve">Revenue Operations Charter</w:t>
      </w:r>
    </w:p>
    <w:p>
      <w:pPr>
        <w:spacing w:after="120"/>
      </w:pPr>
      <w:r>
        <w:rPr>
          <w:rFonts w:ascii="Calibri" w:cs="Calibri" w:eastAsia="Calibri" w:hAnsi="Calibri"/>
          <w:i/>
          <w:iCs/>
          <w:color w:val="5C676C"/>
          <w:sz w:val="18"/>
          <w:szCs w:val="18"/>
        </w:rPr>
        <w:t xml:space="preserve">The operating agreement for one revenue system — from first touch through expansion.</w:t>
      </w:r>
    </w:p>
    <w:tbl>
      <w:tblPr>
        <w:tblW w:type="dxa" w:w="10980"/>
        <w:tblBorders>
          <w:top w:val="single" w:color="auto" w:sz="4"/>
          <w:left w:val="single" w:color="auto" w:sz="4"/>
          <w:bottom w:val="single" w:color="auto" w:sz="4"/>
          <w:right w:val="single" w:color="auto" w:sz="4"/>
          <w:insideH w:val="single" w:color="auto" w:sz="4"/>
          <w:insideV w:val="single" w:color="auto" w:sz="4"/>
        </w:tblBorders>
      </w:tblPr>
      <w:tblGrid>
        <w:gridCol w:w="2745"/>
        <w:gridCol w:w="2745"/>
        <w:gridCol w:w="2745"/>
        <w:gridCol w:w="2745"/>
      </w:tblGrid>
      <w:tr>
        <w:tc>
          <w:tcPr>
            <w:tcW w:type="dxa" w:w="2745"/>
            <w:tcBorders>
              <w:top w:val="single" w:color="D4D8DA" w:sz="4"/>
              <w:left w:val="single" w:color="D4D8DA" w:sz="4"/>
              <w:bottom w:val="single" w:color="D4D8DA" w:sz="4"/>
              <w:right w:val="single" w:color="D4D8DA" w:sz="4"/>
            </w:tcBorders>
            <w:shd w:fill="F4F5F6" w:val="clear"/>
            <w:tcMar>
              <w:top w:type="dxa" w:w="40"/>
              <w:left w:type="dxa" w:w="80"/>
              <w:bottom w:type="dxa" w:w="40"/>
              <w:right w:type="dxa" w:w="80"/>
            </w:tcMar>
            <w:vAlign w:val="top"/>
          </w:tcPr>
          <w:p>
            <w:pPr>
              <w:spacing w:after="0" w:before="0" w:line="240"/>
              <w:jc w:val="left"/>
            </w:pPr>
            <w:r>
              <w:rPr>
                <w:rFonts w:ascii="Calibri" w:cs="Calibri" w:eastAsia="Calibri" w:hAnsi="Calibri"/>
                <w:b/>
                <w:bCs/>
                <w:i w:val="false"/>
                <w:iCs w:val="false"/>
                <w:color w:val="5C676C"/>
                <w:sz w:val="15"/>
                <w:szCs w:val="15"/>
              </w:rPr>
              <w:t xml:space="preserve">Company</w:t>
            </w:r>
          </w:p>
        </w:tc>
        <w:tc>
          <w:tcPr>
            <w:tcW w:type="dxa" w:w="2745"/>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val="false"/>
                <w:bCs w:val="false"/>
                <w:i/>
                <w:iCs/>
                <w:color w:val="2A3439"/>
                <w:sz w:val="16"/>
                <w:szCs w:val="16"/>
              </w:rPr>
              <w:t xml:space="preserve">[Company name]</w:t>
            </w:r>
          </w:p>
        </w:tc>
        <w:tc>
          <w:tcPr>
            <w:tcW w:type="dxa" w:w="2745"/>
            <w:tcBorders>
              <w:top w:val="single" w:color="D4D8DA" w:sz="4"/>
              <w:left w:val="single" w:color="D4D8DA" w:sz="4"/>
              <w:bottom w:val="single" w:color="D4D8DA" w:sz="4"/>
              <w:right w:val="single" w:color="D4D8DA" w:sz="4"/>
            </w:tcBorders>
            <w:shd w:fill="F4F5F6" w:val="clear"/>
            <w:tcMar>
              <w:top w:type="dxa" w:w="40"/>
              <w:left w:type="dxa" w:w="80"/>
              <w:bottom w:type="dxa" w:w="40"/>
              <w:right w:type="dxa" w:w="80"/>
            </w:tcMar>
            <w:vAlign w:val="top"/>
          </w:tcPr>
          <w:p>
            <w:pPr>
              <w:spacing w:after="0" w:before="0" w:line="240"/>
              <w:jc w:val="left"/>
            </w:pPr>
            <w:r>
              <w:rPr>
                <w:rFonts w:ascii="Calibri" w:cs="Calibri" w:eastAsia="Calibri" w:hAnsi="Calibri"/>
                <w:b/>
                <w:bCs/>
                <w:i w:val="false"/>
                <w:iCs w:val="false"/>
                <w:color w:val="5C676C"/>
                <w:sz w:val="15"/>
                <w:szCs w:val="15"/>
              </w:rPr>
              <w:t xml:space="preserve">Effective date</w:t>
            </w:r>
          </w:p>
        </w:tc>
        <w:tc>
          <w:tcPr>
            <w:tcW w:type="dxa" w:w="2745"/>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val="false"/>
                <w:bCs w:val="false"/>
                <w:i/>
                <w:iCs/>
                <w:color w:val="2A3439"/>
                <w:sz w:val="16"/>
                <w:szCs w:val="16"/>
              </w:rPr>
              <w:t xml:space="preserve">[Date]</w:t>
            </w:r>
          </w:p>
        </w:tc>
      </w:tr>
    </w:tbl>
    <w:p>
      <w:pPr>
        <w:pBdr>
          <w:bottom w:val="single" w:color="4F46E5" w:sz="8" w:space="1"/>
        </w:pBdr>
        <w:spacing w:after="60" w:before="140" w:line="240"/>
      </w:pPr>
      <w:r>
        <w:rPr>
          <w:rFonts w:ascii="Calibri" w:cs="Calibri" w:eastAsia="Calibri" w:hAnsi="Calibri"/>
          <w:b/>
          <w:bCs/>
          <w:color w:val="2A3439"/>
          <w:sz w:val="20"/>
          <w:szCs w:val="20"/>
        </w:rPr>
        <w:t xml:space="preserve">1. Purpose</w:t>
      </w:r>
    </w:p>
    <w:p>
      <w:pPr>
        <w:spacing w:after="80" w:before="0" w:line="240"/>
      </w:pPr>
      <w:r>
        <w:rPr>
          <w:rFonts w:ascii="Calibri" w:cs="Calibri" w:eastAsia="Calibri" w:hAnsi="Calibri"/>
          <w:color w:val="2A3439"/>
          <w:sz w:val="18"/>
          <w:szCs w:val="18"/>
        </w:rPr>
        <w:t xml:space="preserve">RevOps exists to make revenue predictable and efficient by aligning Marketing, Sales, and Customer Success on one data model, one process design, one technology architecture, and one scorecard. It owns the seams between teams — not the teams themselves.</w:t>
      </w:r>
    </w:p>
    <w:p>
      <w:pPr>
        <w:pBdr>
          <w:bottom w:val="single" w:color="4F46E5" w:sz="8" w:space="1"/>
        </w:pBdr>
        <w:spacing w:after="60" w:before="140" w:line="240"/>
      </w:pPr>
      <w:r>
        <w:rPr>
          <w:rFonts w:ascii="Calibri" w:cs="Calibri" w:eastAsia="Calibri" w:hAnsi="Calibri"/>
          <w:b/>
          <w:bCs/>
          <w:color w:val="2A3439"/>
          <w:sz w:val="20"/>
          <w:szCs w:val="20"/>
        </w:rPr>
        <w:t xml:space="preserve">2. Shared revenue goal (the only number that binds all three teams)</w:t>
      </w:r>
    </w:p>
    <w:p>
      <w:pPr>
        <w:spacing w:after="60" w:before="0" w:line="240"/>
      </w:pPr>
      <w:r>
        <w:rPr>
          <w:rFonts w:ascii="Calibri" w:cs="Calibri" w:eastAsia="Calibri" w:hAnsi="Calibri"/>
          <w:i/>
          <w:iCs/>
          <w:color w:val="5C676C"/>
          <w:sz w:val="18"/>
          <w:szCs w:val="18"/>
        </w:rPr>
        <w:t xml:space="preserve">[Write one sentence. Example: Grow net revenue while holding payback under X months and NRR at or above Y%.]  All functional targets must ladder to this goal.</w:t>
      </w:r>
    </w:p>
    <w:p>
      <w:pPr>
        <w:pBdr>
          <w:bottom w:val="single" w:color="4F46E5" w:sz="8" w:space="1"/>
        </w:pBdr>
        <w:spacing w:after="60" w:before="140" w:line="240"/>
      </w:pPr>
      <w:r>
        <w:rPr>
          <w:rFonts w:ascii="Calibri" w:cs="Calibri" w:eastAsia="Calibri" w:hAnsi="Calibri"/>
          <w:b/>
          <w:bCs/>
          <w:color w:val="2A3439"/>
          <w:sz w:val="20"/>
          <w:szCs w:val="20"/>
        </w:rPr>
        <w:t xml:space="preserve">3. Reporting line and authority</w:t>
      </w:r>
    </w:p>
    <w:p>
      <w:pPr>
        <w:spacing w:after="40" w:line="240"/>
      </w:pPr>
      <w:r>
        <w:rPr>
          <w:rFonts w:ascii="Calibri" w:cs="Calibri" w:eastAsia="Calibri" w:hAnsi="Calibri"/>
          <w:b/>
          <w:bCs/>
          <w:color w:val="2A3439"/>
          <w:sz w:val="17"/>
          <w:szCs w:val="17"/>
        </w:rPr>
        <w:t xml:space="preserve">Executive sponsor:  </w:t>
      </w:r>
      <w:r>
        <w:rPr>
          <w:rFonts w:ascii="Calibri" w:cs="Calibri" w:eastAsia="Calibri" w:hAnsi="Calibri"/>
          <w:color w:val="2A3439"/>
          <w:sz w:val="17"/>
          <w:szCs w:val="17"/>
        </w:rPr>
        <w:t xml:space="preserve">[CEO / CRO]</w:t>
      </w:r>
    </w:p>
    <w:p>
      <w:pPr>
        <w:spacing w:after="40" w:line="240"/>
      </w:pPr>
      <w:r>
        <w:rPr>
          <w:rFonts w:ascii="Calibri" w:cs="Calibri" w:eastAsia="Calibri" w:hAnsi="Calibri"/>
          <w:b/>
          <w:bCs/>
          <w:color w:val="2A3439"/>
          <w:sz w:val="17"/>
          <w:szCs w:val="17"/>
        </w:rPr>
        <w:t xml:space="preserve">RevOps reports to:  </w:t>
      </w:r>
      <w:r>
        <w:rPr>
          <w:rFonts w:ascii="Calibri" w:cs="Calibri" w:eastAsia="Calibri" w:hAnsi="Calibri"/>
          <w:color w:val="2A3439"/>
          <w:sz w:val="17"/>
          <w:szCs w:val="17"/>
        </w:rPr>
        <w:t xml:space="preserve">[CRO / CEO / COO]  — not solely to Sales, Marketing, or CS.</w:t>
      </w:r>
    </w:p>
    <w:p>
      <w:pPr>
        <w:spacing w:after="40" w:line="240"/>
      </w:pPr>
      <w:r>
        <w:rPr>
          <w:rFonts w:ascii="Calibri" w:cs="Calibri" w:eastAsia="Calibri" w:hAnsi="Calibri"/>
          <w:b/>
          <w:bCs/>
          <w:color w:val="2A3439"/>
          <w:sz w:val="17"/>
          <w:szCs w:val="17"/>
        </w:rPr>
        <w:t xml:space="preserve">Authority:  </w:t>
      </w:r>
      <w:r>
        <w:rPr>
          <w:rFonts w:ascii="Calibri" w:cs="Calibri" w:eastAsia="Calibri" w:hAnsi="Calibri"/>
          <w:color w:val="2A3439"/>
          <w:sz w:val="17"/>
          <w:szCs w:val="17"/>
        </w:rPr>
        <w:t xml:space="preserve">RevOps is the referee on metric definitions, handoff SLAs, system-of-record rules, and GTM stack architecture. Disputes escalate to the sponsor, not to a departmental vote.</w:t>
      </w:r>
    </w:p>
    <w:p>
      <w:pPr>
        <w:pBdr>
          <w:bottom w:val="single" w:color="4F46E5" w:sz="8" w:space="1"/>
        </w:pBdr>
        <w:spacing w:after="60" w:before="140" w:line="240"/>
      </w:pPr>
      <w:r>
        <w:rPr>
          <w:rFonts w:ascii="Calibri" w:cs="Calibri" w:eastAsia="Calibri" w:hAnsi="Calibri"/>
          <w:b/>
          <w:bCs/>
          <w:color w:val="2A3439"/>
          <w:sz w:val="20"/>
          <w:szCs w:val="20"/>
        </w:rPr>
        <w:t xml:space="preserve">4. What RevOps owns  ·  What RevOps does not own</w:t>
      </w:r>
    </w:p>
    <w:tbl>
      <w:tblPr>
        <w:tblW w:type="dxa" w:w="10980"/>
        <w:tblBorders>
          <w:top w:val="single" w:color="auto" w:sz="4"/>
          <w:left w:val="single" w:color="auto" w:sz="4"/>
          <w:bottom w:val="single" w:color="auto" w:sz="4"/>
          <w:right w:val="single" w:color="auto" w:sz="4"/>
          <w:insideH w:val="single" w:color="auto" w:sz="4"/>
          <w:insideV w:val="single" w:color="auto" w:sz="4"/>
        </w:tblBorders>
      </w:tblPr>
      <w:tblGrid>
        <w:gridCol w:w="5490"/>
        <w:gridCol w:w="5490"/>
      </w:tblGrid>
      <w:tr>
        <w:tc>
          <w:tcPr>
            <w:tcW w:type="dxa" w:w="5490"/>
            <w:tcBorders>
              <w:top w:val="single" w:color="D4D8DA" w:sz="4"/>
              <w:left w:val="single" w:color="D4D8DA" w:sz="4"/>
              <w:bottom w:val="single" w:color="D4D8DA" w:sz="4"/>
              <w:right w:val="single" w:color="D4D8DA" w:sz="4"/>
            </w:tcBorders>
            <w:shd w:fill="2A3439" w:val="clear"/>
            <w:tcMar>
              <w:top w:type="dxa" w:w="40"/>
              <w:left w:type="dxa" w:w="80"/>
              <w:bottom w:type="dxa" w:w="40"/>
              <w:right w:type="dxa" w:w="80"/>
            </w:tcMar>
            <w:vAlign w:val="top"/>
          </w:tcPr>
          <w:p>
            <w:pPr>
              <w:spacing w:after="0" w:before="0" w:line="240"/>
              <w:jc w:val="left"/>
            </w:pPr>
            <w:r>
              <w:rPr>
                <w:rFonts w:ascii="Calibri" w:cs="Calibri" w:eastAsia="Calibri" w:hAnsi="Calibri"/>
                <w:b/>
                <w:bCs/>
                <w:i w:val="false"/>
                <w:iCs w:val="false"/>
                <w:color w:val="FFFFFF"/>
                <w:sz w:val="16"/>
                <w:szCs w:val="16"/>
              </w:rPr>
              <w:t xml:space="preserve">Owns</w:t>
            </w:r>
          </w:p>
        </w:tc>
        <w:tc>
          <w:tcPr>
            <w:tcW w:type="dxa" w:w="5490"/>
            <w:tcBorders>
              <w:top w:val="single" w:color="D4D8DA" w:sz="4"/>
              <w:left w:val="single" w:color="D4D8DA" w:sz="4"/>
              <w:bottom w:val="single" w:color="D4D8DA" w:sz="4"/>
              <w:right w:val="single" w:color="D4D8DA" w:sz="4"/>
            </w:tcBorders>
            <w:shd w:fill="2A3439" w:val="clear"/>
            <w:tcMar>
              <w:top w:type="dxa" w:w="40"/>
              <w:left w:type="dxa" w:w="80"/>
              <w:bottom w:type="dxa" w:w="40"/>
              <w:right w:type="dxa" w:w="80"/>
            </w:tcMar>
            <w:vAlign w:val="top"/>
          </w:tcPr>
          <w:p>
            <w:pPr>
              <w:spacing w:after="0" w:before="0" w:line="240"/>
              <w:jc w:val="left"/>
            </w:pPr>
            <w:r>
              <w:rPr>
                <w:rFonts w:ascii="Calibri" w:cs="Calibri" w:eastAsia="Calibri" w:hAnsi="Calibri"/>
                <w:b/>
                <w:bCs/>
                <w:i w:val="false"/>
                <w:iCs w:val="false"/>
                <w:color w:val="FFFFFF"/>
                <w:sz w:val="16"/>
                <w:szCs w:val="16"/>
              </w:rPr>
              <w:t xml:space="preserve">Does not own</w:t>
            </w:r>
          </w:p>
        </w:tc>
      </w:tr>
      <w:tr>
        <w:tc>
          <w:tcPr>
            <w:tcW w:type="dxa" w:w="5490"/>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val="false"/>
                <w:bCs w:val="false"/>
                <w:i w:val="false"/>
                <w:iCs w:val="false"/>
                <w:color w:val="2A3439"/>
                <w:sz w:val="16"/>
                <w:szCs w:val="16"/>
              </w:rPr>
              <w:t xml:space="preserve">Single source of truth for revenue data and the metric dictionary (MQL, SQL, pipeline, bookings, NRR, forecast categories).</w:t>
            </w:r>
          </w:p>
        </w:tc>
        <w:tc>
          <w:tcPr>
            <w:tcW w:type="dxa" w:w="5490"/>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val="false"/>
                <w:bCs w:val="false"/>
                <w:i w:val="false"/>
                <w:iCs w:val="false"/>
                <w:color w:val="2A3439"/>
                <w:sz w:val="16"/>
                <w:szCs w:val="16"/>
              </w:rPr>
              <w:t xml:space="preserve">Campaign strategy, creative, or demand-gen execution.</w:t>
            </w:r>
          </w:p>
        </w:tc>
      </w:tr>
      <w:tr>
        <w:tc>
          <w:tcPr>
            <w:tcW w:type="dxa" w:w="5490"/>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val="false"/>
                <w:bCs w:val="false"/>
                <w:i w:val="false"/>
                <w:iCs w:val="false"/>
                <w:color w:val="2A3439"/>
                <w:sz w:val="16"/>
                <w:szCs w:val="16"/>
              </w:rPr>
              <w:t xml:space="preserve">End-to-end process design and SLAs: lead routing, stage criteria, Closed-Won → CS handoff, renewal/expansion workflow.</w:t>
            </w:r>
          </w:p>
        </w:tc>
        <w:tc>
          <w:tcPr>
            <w:tcW w:type="dxa" w:w="5490"/>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val="false"/>
                <w:bCs w:val="false"/>
                <w:i w:val="false"/>
                <w:iCs w:val="false"/>
                <w:color w:val="2A3439"/>
                <w:sz w:val="16"/>
                <w:szCs w:val="16"/>
              </w:rPr>
              <w:t xml:space="preserve">Carrying quota or closing deals. Managing individual reps or CSMs.</w:t>
            </w:r>
          </w:p>
        </w:tc>
      </w:tr>
      <w:tr>
        <w:tc>
          <w:tcPr>
            <w:tcW w:type="dxa" w:w="5490"/>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val="false"/>
                <w:bCs w:val="false"/>
                <w:i w:val="false"/>
                <w:iCs w:val="false"/>
                <w:color w:val="2A3439"/>
                <w:sz w:val="16"/>
                <w:szCs w:val="16"/>
              </w:rPr>
              <w:t xml:space="preserve">GTM technology architecture: CRM as system of record, integrations, what is added or retired.</w:t>
            </w:r>
          </w:p>
        </w:tc>
        <w:tc>
          <w:tcPr>
            <w:tcW w:type="dxa" w:w="5490"/>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val="false"/>
                <w:bCs w:val="false"/>
                <w:i w:val="false"/>
                <w:iCs w:val="false"/>
                <w:color w:val="2A3439"/>
                <w:sz w:val="16"/>
                <w:szCs w:val="16"/>
              </w:rPr>
              <w:t xml:space="preserve">Product roadmap, pricing strategy, or legal contracting (partners with those owners).</w:t>
            </w:r>
          </w:p>
        </w:tc>
      </w:tr>
      <w:tr>
        <w:tc>
          <w:tcPr>
            <w:tcW w:type="dxa" w:w="5490"/>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val="false"/>
                <w:bCs w:val="false"/>
                <w:i w:val="false"/>
                <w:iCs w:val="false"/>
                <w:color w:val="2A3439"/>
                <w:sz w:val="16"/>
                <w:szCs w:val="16"/>
              </w:rPr>
              <w:t xml:space="preserve">Exec revenue reporting, forecast process integrity, and capacity/territory inputs to planning.</w:t>
            </w:r>
          </w:p>
        </w:tc>
        <w:tc>
          <w:tcPr>
            <w:tcW w:type="dxa" w:w="5490"/>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val="false"/>
                <w:bCs w:val="false"/>
                <w:i w:val="false"/>
                <w:iCs w:val="false"/>
                <w:color w:val="2A3439"/>
                <w:sz w:val="16"/>
                <w:szCs w:val="16"/>
              </w:rPr>
              <w:t xml:space="preserve">Replacing Sales Ops, Marketing Ops, or CS Ops specialists — it governs how they connect.</w:t>
            </w:r>
          </w:p>
        </w:tc>
      </w:tr>
    </w:tbl>
    <w:p>
      <w:pPr>
        <w:pBdr>
          <w:bottom w:val="single" w:color="4F46E5" w:sz="8" w:space="1"/>
        </w:pBdr>
        <w:spacing w:after="60" w:before="140" w:line="240"/>
      </w:pPr>
      <w:r>
        <w:rPr>
          <w:rFonts w:ascii="Calibri" w:cs="Calibri" w:eastAsia="Calibri" w:hAnsi="Calibri"/>
          <w:b/>
          <w:bCs/>
          <w:color w:val="2A3439"/>
          <w:sz w:val="20"/>
          <w:szCs w:val="20"/>
        </w:rPr>
        <w:t xml:space="preserve">5. First 90 days (maximum three workstreams)</w:t>
      </w:r>
    </w:p>
    <w:p>
      <w:pPr>
        <w:pStyle w:val="ListParagraph"/>
        <w:numPr>
          <w:ilvl w:val="0"/>
          <w:numId w:val="2"/>
        </w:numPr>
        <w:spacing w:after="20" w:before="0" w:line="230"/>
      </w:pPr>
      <w:r>
        <w:rPr>
          <w:rFonts w:ascii="Calibri" w:cs="Calibri" w:eastAsia="Calibri" w:hAnsi="Calibri"/>
          <w:color w:val="2A3439"/>
          <w:sz w:val="17"/>
          <w:szCs w:val="17"/>
        </w:rPr>
        <w:t xml:space="preserve">Workstream 1 — Definitions: freeze the metric dictionary; reconcile Marketing / Sales / Finance numbers.</w:t>
      </w:r>
    </w:p>
    <w:p>
      <w:pPr>
        <w:pStyle w:val="ListParagraph"/>
        <w:numPr>
          <w:ilvl w:val="0"/>
          <w:numId w:val="2"/>
        </w:numPr>
        <w:spacing w:after="20" w:before="0" w:line="230"/>
      </w:pPr>
      <w:r>
        <w:rPr>
          <w:rFonts w:ascii="Calibri" w:cs="Calibri" w:eastAsia="Calibri" w:hAnsi="Calibri"/>
          <w:color w:val="2A3439"/>
          <w:sz w:val="17"/>
          <w:szCs w:val="17"/>
        </w:rPr>
        <w:t xml:space="preserve">Workstream 2 — One leaky seam: document and enforce a single handoff SLA (default: MQL→SQL or Closed-Won→CS).</w:t>
      </w:r>
    </w:p>
    <w:p>
      <w:pPr>
        <w:pStyle w:val="ListParagraph"/>
        <w:numPr>
          <w:ilvl w:val="0"/>
          <w:numId w:val="2"/>
        </w:numPr>
        <w:spacing w:after="20" w:before="0" w:line="230"/>
      </w:pPr>
      <w:r>
        <w:rPr>
          <w:rFonts w:ascii="Calibri" w:cs="Calibri" w:eastAsia="Calibri" w:hAnsi="Calibri"/>
          <w:color w:val="2A3439"/>
          <w:sz w:val="17"/>
          <w:szCs w:val="17"/>
        </w:rPr>
        <w:t xml:space="preserve">Workstream 3 — One source of truth: weekly pipeline inspection in the CRM; one exec dashboard; freeze net-new tools unless they fix a named process gap.</w:t>
      </w:r>
    </w:p>
    <w:p>
      <w:pPr>
        <w:pBdr>
          <w:bottom w:val="single" w:color="4F46E5" w:sz="8" w:space="1"/>
        </w:pBdr>
        <w:spacing w:after="60" w:before="140" w:line="240"/>
      </w:pPr>
      <w:r>
        <w:rPr>
          <w:rFonts w:ascii="Calibri" w:cs="Calibri" w:eastAsia="Calibri" w:hAnsi="Calibri"/>
          <w:b/>
          <w:bCs/>
          <w:color w:val="2A3439"/>
          <w:sz w:val="20"/>
          <w:szCs w:val="20"/>
        </w:rPr>
        <w:t xml:space="preserve">6. How we will know it is working</w:t>
      </w:r>
    </w:p>
    <w:p>
      <w:pPr>
        <w:pStyle w:val="ListParagraph"/>
        <w:numPr>
          <w:ilvl w:val="0"/>
          <w:numId w:val="3"/>
        </w:numPr>
        <w:spacing w:after="20" w:before="0" w:line="230"/>
      </w:pPr>
      <w:r>
        <w:rPr>
          <w:rFonts w:ascii="Calibri" w:cs="Calibri" w:eastAsia="Calibri" w:hAnsi="Calibri"/>
          <w:color w:val="2A3439"/>
          <w:sz w:val="17"/>
          <w:szCs w:val="17"/>
        </w:rPr>
        <w:t xml:space="preserve">One pipeline number in exec meetings — Marketing, Sales, and Finance use the same definition.</w:t>
      </w:r>
    </w:p>
    <w:p>
      <w:pPr>
        <w:pStyle w:val="ListParagraph"/>
        <w:numPr>
          <w:ilvl w:val="0"/>
          <w:numId w:val="3"/>
        </w:numPr>
        <w:spacing w:after="20" w:before="0" w:line="230"/>
      </w:pPr>
      <w:r>
        <w:rPr>
          <w:rFonts w:ascii="Calibri" w:cs="Calibri" w:eastAsia="Calibri" w:hAnsi="Calibri"/>
          <w:color w:val="2A3439"/>
          <w:sz w:val="17"/>
          <w:szCs w:val="17"/>
        </w:rPr>
        <w:t xml:space="preserve">Named owner + SLA on the worst handoff; breaches visible weekly.</w:t>
      </w:r>
    </w:p>
    <w:p>
      <w:pPr>
        <w:pStyle w:val="ListParagraph"/>
        <w:numPr>
          <w:ilvl w:val="0"/>
          <w:numId w:val="3"/>
        </w:numPr>
        <w:spacing w:after="20" w:before="0" w:line="230"/>
      </w:pPr>
      <w:r>
        <w:rPr>
          <w:rFonts w:ascii="Calibri" w:cs="Calibri" w:eastAsia="Calibri" w:hAnsi="Calibri"/>
          <w:color w:val="2A3439"/>
          <w:sz w:val="17"/>
          <w:szCs w:val="17"/>
        </w:rPr>
        <w:t xml:space="preserve">Forecast accuracy and bias tracked; dashboard count goes down, not up.</w:t>
      </w:r>
    </w:p>
    <w:p>
      <w:pPr>
        <w:pBdr>
          <w:bottom w:val="single" w:color="4F46E5" w:sz="8" w:space="1"/>
        </w:pBdr>
        <w:spacing w:after="60" w:before="140" w:line="240"/>
      </w:pPr>
      <w:r>
        <w:rPr>
          <w:rFonts w:ascii="Calibri" w:cs="Calibri" w:eastAsia="Calibri" w:hAnsi="Calibri"/>
          <w:b/>
          <w:bCs/>
          <w:color w:val="2A3439"/>
          <w:sz w:val="20"/>
          <w:szCs w:val="20"/>
        </w:rPr>
        <w:t xml:space="preserve">7. Stop-doing list</w:t>
      </w:r>
    </w:p>
    <w:p>
      <w:pPr>
        <w:spacing w:after="80" w:before="0" w:line="240"/>
      </w:pPr>
      <w:r>
        <w:rPr>
          <w:rFonts w:ascii="Calibri" w:cs="Calibri" w:eastAsia="Calibri" w:hAnsi="Calibri"/>
          <w:i/>
          <w:iCs/>
          <w:color w:val="5C676C"/>
          <w:sz w:val="18"/>
          <w:szCs w:val="18"/>
        </w:rPr>
        <w:t xml:space="preserve">[Name 2–3 current habits that this charter kills. Examples: competing departmental dashboards; MQL targets disconnected from revenue; shadow spreadsheets as forecast source; tool purchases without RevOps review.]</w:t>
      </w:r>
    </w:p>
    <w:p>
      <w:pPr>
        <w:pBdr>
          <w:bottom w:val="single" w:color="4F46E5" w:sz="8" w:space="1"/>
        </w:pBdr>
        <w:spacing w:after="60" w:before="140" w:line="240"/>
      </w:pPr>
      <w:r>
        <w:rPr>
          <w:rFonts w:ascii="Calibri" w:cs="Calibri" w:eastAsia="Calibri" w:hAnsi="Calibri"/>
          <w:b/>
          <w:bCs/>
          <w:color w:val="2A3439"/>
          <w:sz w:val="20"/>
          <w:szCs w:val="20"/>
        </w:rPr>
        <w:t xml:space="preserve">8. Signatures — we agree to the above</w:t>
      </w:r>
    </w:p>
    <w:tbl>
      <w:tblPr>
        <w:tblW w:type="dxa" w:w="10980"/>
        <w:tblBorders>
          <w:top w:val="single" w:color="auto" w:sz="4"/>
          <w:left w:val="single" w:color="auto" w:sz="4"/>
          <w:bottom w:val="single" w:color="auto" w:sz="4"/>
          <w:right w:val="single" w:color="auto" w:sz="4"/>
          <w:insideH w:val="single" w:color="auto" w:sz="4"/>
          <w:insideV w:val="single" w:color="auto" w:sz="4"/>
        </w:tblBorders>
      </w:tblPr>
      <w:tblGrid>
        <w:gridCol w:w="3660"/>
        <w:gridCol w:w="3660"/>
        <w:gridCol w:w="3660"/>
      </w:tblGrid>
      <w:tr>
        <w:tc>
          <w:tcPr>
            <w:tcW w:type="dxa" w:w="3660"/>
            <w:tcBorders>
              <w:top w:val="single" w:color="D4D8DA" w:sz="4"/>
              <w:left w:val="single" w:color="D4D8DA" w:sz="4"/>
              <w:bottom w:val="single" w:color="D4D8DA" w:sz="4"/>
              <w:right w:val="single" w:color="D4D8DA" w:sz="4"/>
            </w:tcBorders>
            <w:shd w:fill="2A3439" w:val="clear"/>
            <w:tcMar>
              <w:top w:type="dxa" w:w="40"/>
              <w:left w:type="dxa" w:w="80"/>
              <w:bottom w:type="dxa" w:w="40"/>
              <w:right w:type="dxa" w:w="80"/>
            </w:tcMar>
            <w:vAlign w:val="top"/>
          </w:tcPr>
          <w:p>
            <w:pPr>
              <w:spacing w:after="0" w:before="0" w:line="240"/>
              <w:jc w:val="left"/>
            </w:pPr>
            <w:r>
              <w:rPr>
                <w:rFonts w:ascii="Calibri" w:cs="Calibri" w:eastAsia="Calibri" w:hAnsi="Calibri"/>
                <w:b/>
                <w:bCs/>
                <w:i w:val="false"/>
                <w:iCs w:val="false"/>
                <w:color w:val="FFFFFF"/>
                <w:sz w:val="16"/>
                <w:szCs w:val="16"/>
              </w:rPr>
              <w:t xml:space="preserve">Role</w:t>
            </w:r>
          </w:p>
        </w:tc>
        <w:tc>
          <w:tcPr>
            <w:tcW w:type="dxa" w:w="3660"/>
            <w:tcBorders>
              <w:top w:val="single" w:color="D4D8DA" w:sz="4"/>
              <w:left w:val="single" w:color="D4D8DA" w:sz="4"/>
              <w:bottom w:val="single" w:color="D4D8DA" w:sz="4"/>
              <w:right w:val="single" w:color="D4D8DA" w:sz="4"/>
            </w:tcBorders>
            <w:shd w:fill="2A3439" w:val="clear"/>
            <w:tcMar>
              <w:top w:type="dxa" w:w="40"/>
              <w:left w:type="dxa" w:w="80"/>
              <w:bottom w:type="dxa" w:w="40"/>
              <w:right w:type="dxa" w:w="80"/>
            </w:tcMar>
            <w:vAlign w:val="top"/>
          </w:tcPr>
          <w:p>
            <w:pPr>
              <w:spacing w:after="0" w:before="0" w:line="240"/>
              <w:jc w:val="left"/>
            </w:pPr>
            <w:r>
              <w:rPr>
                <w:rFonts w:ascii="Calibri" w:cs="Calibri" w:eastAsia="Calibri" w:hAnsi="Calibri"/>
                <w:b/>
                <w:bCs/>
                <w:i w:val="false"/>
                <w:iCs w:val="false"/>
                <w:color w:val="FFFFFF"/>
                <w:sz w:val="16"/>
                <w:szCs w:val="16"/>
              </w:rPr>
              <w:t xml:space="preserve">Name / signature</w:t>
            </w:r>
          </w:p>
        </w:tc>
        <w:tc>
          <w:tcPr>
            <w:tcW w:type="dxa" w:w="3660"/>
            <w:tcBorders>
              <w:top w:val="single" w:color="D4D8DA" w:sz="4"/>
              <w:left w:val="single" w:color="D4D8DA" w:sz="4"/>
              <w:bottom w:val="single" w:color="D4D8DA" w:sz="4"/>
              <w:right w:val="single" w:color="D4D8DA" w:sz="4"/>
            </w:tcBorders>
            <w:shd w:fill="2A3439" w:val="clear"/>
            <w:tcMar>
              <w:top w:type="dxa" w:w="40"/>
              <w:left w:type="dxa" w:w="80"/>
              <w:bottom w:type="dxa" w:w="40"/>
              <w:right w:type="dxa" w:w="80"/>
            </w:tcMar>
            <w:vAlign w:val="top"/>
          </w:tcPr>
          <w:p>
            <w:pPr>
              <w:spacing w:after="0" w:before="0" w:line="240"/>
              <w:jc w:val="left"/>
            </w:pPr>
            <w:r>
              <w:rPr>
                <w:rFonts w:ascii="Calibri" w:cs="Calibri" w:eastAsia="Calibri" w:hAnsi="Calibri"/>
                <w:b/>
                <w:bCs/>
                <w:i w:val="false"/>
                <w:iCs w:val="false"/>
                <w:color w:val="FFFFFF"/>
                <w:sz w:val="16"/>
                <w:szCs w:val="16"/>
              </w:rPr>
              <w:t xml:space="preserve">Date</w:t>
            </w:r>
          </w:p>
        </w:tc>
      </w:tr>
      <w:tr>
        <w:tc>
          <w:tcPr>
            <w:tcW w:type="dxa" w:w="3660"/>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bCs/>
                <w:i w:val="false"/>
                <w:iCs w:val="false"/>
                <w:color w:val="2A3439"/>
                <w:sz w:val="16"/>
                <w:szCs w:val="16"/>
              </w:rPr>
              <w:t xml:space="preserve">CEO / Executive sponsor</w:t>
            </w:r>
          </w:p>
        </w:tc>
        <w:tc>
          <w:tcPr>
            <w:tcW w:type="dxa" w:w="3660"/>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val="false"/>
                <w:bCs w:val="false"/>
                <w:i w:val="false"/>
                <w:iCs w:val="false"/>
                <w:color w:val="2A3439"/>
                <w:sz w:val="16"/>
                <w:szCs w:val="16"/>
              </w:rPr>
              <w:t xml:space="preserve"> </w:t>
            </w:r>
          </w:p>
        </w:tc>
        <w:tc>
          <w:tcPr>
            <w:tcW w:type="dxa" w:w="3660"/>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val="false"/>
                <w:bCs w:val="false"/>
                <w:i w:val="false"/>
                <w:iCs w:val="false"/>
                <w:color w:val="2A3439"/>
                <w:sz w:val="16"/>
                <w:szCs w:val="16"/>
              </w:rPr>
              <w:t xml:space="preserve"> </w:t>
            </w:r>
          </w:p>
        </w:tc>
      </w:tr>
      <w:tr>
        <w:tc>
          <w:tcPr>
            <w:tcW w:type="dxa" w:w="3660"/>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bCs/>
                <w:i w:val="false"/>
                <w:iCs w:val="false"/>
                <w:color w:val="2A3439"/>
                <w:sz w:val="16"/>
                <w:szCs w:val="16"/>
              </w:rPr>
              <w:t xml:space="preserve">CRO (or head of Sales)</w:t>
            </w:r>
          </w:p>
        </w:tc>
        <w:tc>
          <w:tcPr>
            <w:tcW w:type="dxa" w:w="3660"/>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val="false"/>
                <w:bCs w:val="false"/>
                <w:i w:val="false"/>
                <w:iCs w:val="false"/>
                <w:color w:val="2A3439"/>
                <w:sz w:val="16"/>
                <w:szCs w:val="16"/>
              </w:rPr>
              <w:t xml:space="preserve"> </w:t>
            </w:r>
          </w:p>
        </w:tc>
        <w:tc>
          <w:tcPr>
            <w:tcW w:type="dxa" w:w="3660"/>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val="false"/>
                <w:bCs w:val="false"/>
                <w:i w:val="false"/>
                <w:iCs w:val="false"/>
                <w:color w:val="2A3439"/>
                <w:sz w:val="16"/>
                <w:szCs w:val="16"/>
              </w:rPr>
              <w:t xml:space="preserve"> </w:t>
            </w:r>
          </w:p>
        </w:tc>
      </w:tr>
      <w:tr>
        <w:tc>
          <w:tcPr>
            <w:tcW w:type="dxa" w:w="3660"/>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bCs/>
                <w:i w:val="false"/>
                <w:iCs w:val="false"/>
                <w:color w:val="2A3439"/>
                <w:sz w:val="16"/>
                <w:szCs w:val="16"/>
              </w:rPr>
              <w:t xml:space="preserve">CMO (or head of Marketing)</w:t>
            </w:r>
          </w:p>
        </w:tc>
        <w:tc>
          <w:tcPr>
            <w:tcW w:type="dxa" w:w="3660"/>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val="false"/>
                <w:bCs w:val="false"/>
                <w:i w:val="false"/>
                <w:iCs w:val="false"/>
                <w:color w:val="2A3439"/>
                <w:sz w:val="16"/>
                <w:szCs w:val="16"/>
              </w:rPr>
              <w:t xml:space="preserve"> </w:t>
            </w:r>
          </w:p>
        </w:tc>
        <w:tc>
          <w:tcPr>
            <w:tcW w:type="dxa" w:w="3660"/>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val="false"/>
                <w:bCs w:val="false"/>
                <w:i w:val="false"/>
                <w:iCs w:val="false"/>
                <w:color w:val="2A3439"/>
                <w:sz w:val="16"/>
                <w:szCs w:val="16"/>
              </w:rPr>
              <w:t xml:space="preserve"> </w:t>
            </w:r>
          </w:p>
        </w:tc>
      </w:tr>
      <w:tr>
        <w:tc>
          <w:tcPr>
            <w:tcW w:type="dxa" w:w="3660"/>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bCs/>
                <w:i w:val="false"/>
                <w:iCs w:val="false"/>
                <w:color w:val="2A3439"/>
                <w:sz w:val="16"/>
                <w:szCs w:val="16"/>
              </w:rPr>
              <w:t xml:space="preserve">CCO / VP Customer Success</w:t>
            </w:r>
          </w:p>
        </w:tc>
        <w:tc>
          <w:tcPr>
            <w:tcW w:type="dxa" w:w="3660"/>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val="false"/>
                <w:bCs w:val="false"/>
                <w:i w:val="false"/>
                <w:iCs w:val="false"/>
                <w:color w:val="2A3439"/>
                <w:sz w:val="16"/>
                <w:szCs w:val="16"/>
              </w:rPr>
              <w:t xml:space="preserve"> </w:t>
            </w:r>
          </w:p>
        </w:tc>
        <w:tc>
          <w:tcPr>
            <w:tcW w:type="dxa" w:w="3660"/>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val="false"/>
                <w:bCs w:val="false"/>
                <w:i w:val="false"/>
                <w:iCs w:val="false"/>
                <w:color w:val="2A3439"/>
                <w:sz w:val="16"/>
                <w:szCs w:val="16"/>
              </w:rPr>
              <w:t xml:space="preserve"> </w:t>
            </w:r>
          </w:p>
        </w:tc>
      </w:tr>
      <w:tr>
        <w:tc>
          <w:tcPr>
            <w:tcW w:type="dxa" w:w="3660"/>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bCs/>
                <w:i w:val="false"/>
                <w:iCs w:val="false"/>
                <w:color w:val="2A3439"/>
                <w:sz w:val="16"/>
                <w:szCs w:val="16"/>
              </w:rPr>
              <w:t xml:space="preserve">CFO (metric &amp; systems co-signer)</w:t>
            </w:r>
          </w:p>
        </w:tc>
        <w:tc>
          <w:tcPr>
            <w:tcW w:type="dxa" w:w="3660"/>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val="false"/>
                <w:bCs w:val="false"/>
                <w:i w:val="false"/>
                <w:iCs w:val="false"/>
                <w:color w:val="2A3439"/>
                <w:sz w:val="16"/>
                <w:szCs w:val="16"/>
              </w:rPr>
              <w:t xml:space="preserve"> </w:t>
            </w:r>
          </w:p>
        </w:tc>
        <w:tc>
          <w:tcPr>
            <w:tcW w:type="dxa" w:w="3660"/>
            <w:tcBorders>
              <w:top w:val="single" w:color="D4D8DA" w:sz="4"/>
              <w:left w:val="single" w:color="D4D8DA" w:sz="4"/>
              <w:bottom w:val="single" w:color="D4D8DA" w:sz="4"/>
              <w:right w:val="single" w:color="D4D8DA" w:sz="4"/>
            </w:tcBorders>
            <w:shd w:fill="FFFFFF" w:val="clear"/>
            <w:tcMar>
              <w:top w:type="dxa" w:w="40"/>
              <w:left w:type="dxa" w:w="80"/>
              <w:bottom w:type="dxa" w:w="40"/>
              <w:right w:type="dxa" w:w="80"/>
            </w:tcMar>
            <w:vAlign w:val="top"/>
          </w:tcPr>
          <w:p>
            <w:pPr>
              <w:spacing w:after="0" w:before="0" w:line="240"/>
              <w:jc w:val="left"/>
            </w:pPr>
            <w:r>
              <w:rPr>
                <w:rFonts w:ascii="Calibri" w:cs="Calibri" w:eastAsia="Calibri" w:hAnsi="Calibri"/>
                <w:b w:val="false"/>
                <w:bCs w:val="false"/>
                <w:i w:val="false"/>
                <w:iCs w:val="false"/>
                <w:color w:val="2A3439"/>
                <w:sz w:val="16"/>
                <w:szCs w:val="16"/>
              </w:rPr>
              <w:t xml:space="preserve"> </w:t>
            </w:r>
          </w:p>
        </w:tc>
      </w:tr>
    </w:tbl>
    <w:sectPr>
      <w:headerReference w:type="default" r:id="rId7"/>
      <w:footerReference w:type="default" r:id="rId8"/>
      <w:pgSz w:w="12240" w:h="15840" w:orient="portrait"/>
      <w:pgMar w:top="720" w:right="630" w:bottom="680" w:left="63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Calibri" w:cs="Calibri" w:eastAsia="Calibri" w:hAnsi="Calibri"/>
        <w:i/>
        <w:iCs/>
        <w:color w:val="5C676C"/>
        <w:sz w:val="14"/>
        <w:szCs w:val="14"/>
      </w:rPr>
      <w:t xml:space="preserve">One page. Sign only when the blanks are filled. Review in 90 days.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rPr>
        <w:rFonts w:ascii="Calibri" w:cs="Calibri" w:eastAsia="Calibri" w:hAnsi="Calibri"/>
        <w:b/>
        <w:bCs/>
        <w:color w:val="2A3439"/>
        <w:sz w:val="14"/>
        <w:szCs w:val="14"/>
      </w:rPr>
      <w:t xml:space="preserve">REVENUE OPERATIONS CHARTER</w:t>
    </w:r>
    <w:r>
      <w:rPr>
        <w:rFonts w:ascii="Calibri" w:cs="Calibri" w:eastAsia="Calibri" w:hAnsi="Calibri"/>
        <w:color w:val="5C676C"/>
        <w:sz w:val="14"/>
        <w:szCs w:val="14"/>
      </w:rPr>
      <w:t xml:space="preserve">    ·    Educational resource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0" w:hanging="200"/>
      </w:pPr>
    </w:lvl>
  </w:abstractNum>
  <w:abstractNum w:abstractNumId="3" w15:restartNumberingAfterBreak="0">
    <w:multiLevelType w:val="hybridMultilevel"/>
    <w:lvl w:ilvl="0" w15:tentative="1">
      <w:start w:val="1"/>
      <w:numFmt w:val="bullet"/>
      <w:lvlText w:val="•"/>
      <w:lvlJc w:val="left"/>
      <w:pPr>
        <w:ind w:left="280" w:hanging="200"/>
      </w:pPr>
    </w:lvl>
  </w:abstractNum>
  <w:abstractNum w:abstractNumId="4" w15:restartNumberingAfterBreak="0">
    <w:multiLevelType w:val="hybridMultilevel"/>
    <w:lvl w:ilvl="0" w15:tentative="1">
      <w:start w:val="1"/>
      <w:numFmt w:val="bullet"/>
      <w:lvlText w:val="•"/>
      <w:lvlJc w:val="left"/>
      <w:pPr>
        <w:ind w:left="280" w:hanging="2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2026-09-17T11:09:48.096Z</dcterms:created>
  <dcterms:modified xsi:type="dcterms:W3CDTF">2026-09-17T11:09:48.096Z</dcterms:modified>
</cp:coreProperties>
</file>

<file path=docProps/custom.xml><?xml version="1.0" encoding="utf-8"?>
<Properties xmlns="http://schemas.openxmlformats.org/officeDocument/2006/custom-properties" xmlns:vt="http://schemas.openxmlformats.org/officeDocument/2006/docPropsVTypes"/>
</file>