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0" w:line="276"/>
      </w:pPr>
      <w:r>
        <w:rPr>
          <w:rFonts w:ascii="Calibri" w:cs="Calibri" w:eastAsia="Calibri" w:hAnsi="Calibri"/>
          <w:b/>
          <w:bCs/>
          <w:color w:val="4F46E5"/>
          <w:sz w:val="20"/>
          <w:szCs w:val="20"/>
        </w:rPr>
        <w:t xml:space="preserve">SESSION 1</w:t>
      </w:r>
    </w:p>
    <w:p>
      <w:pPr>
        <w:spacing w:after="40" w:before="0" w:line="276"/>
      </w:pPr>
      <w:r>
        <w:rPr>
          <w:rFonts w:ascii="Calibri" w:cs="Calibri" w:eastAsia="Calibri" w:hAnsi="Calibri"/>
          <w:b/>
          <w:bCs/>
          <w:color w:val="2A3439"/>
          <w:sz w:val="36"/>
          <w:szCs w:val="36"/>
        </w:rPr>
        <w:t xml:space="preserve">People and alignment</w:t>
      </w:r>
    </w:p>
    <w:p>
      <w:pPr>
        <w:spacing w:after="200" w:before="0" w:line="276"/>
      </w:pPr>
      <w:r>
        <w:rPr>
          <w:rFonts w:ascii="Calibri" w:cs="Calibri" w:eastAsia="Calibri" w:hAnsi="Calibri"/>
          <w:i/>
          <w:iCs/>
          <w:color w:val="5C676C"/>
          <w:sz w:val="22"/>
          <w:szCs w:val="22"/>
        </w:rPr>
        <w:t xml:space="preserve">The political session. Who referees the seams — and who that person reports to.</w:t>
      </w:r>
    </w:p>
    <w:p>
      <w:pPr>
        <w:pBdr>
          <w:bottom w:val="single" w:color="4F46E5" w:sz="12" w:space="2"/>
        </w:pBdr>
        <w:spacing w:after="80" w:before="280" w:line="276"/>
      </w:pPr>
      <w:r>
        <w:rPr>
          <w:rFonts w:ascii="Calibri" w:cs="Calibri" w:eastAsia="Calibri" w:hAnsi="Calibri"/>
          <w:b/>
          <w:bCs/>
          <w:color w:val="2A3439"/>
          <w:sz w:val="28"/>
          <w:szCs w:val="28"/>
        </w:rPr>
        <w:t xml:space="preserve">How to use this script</w:t>
      </w:r>
    </w:p>
    <w:p>
      <w:pPr>
        <w:pStyle w:val="ListParagraph"/>
        <w:numPr>
          <w:ilvl w:val="0"/>
          <w:numId w:val="2"/>
        </w:numPr>
        <w:spacing w:after="60" w:before="0" w:line="260"/>
      </w:pPr>
      <w:r>
        <w:rPr>
          <w:rFonts w:ascii="Calibri" w:cs="Calibri" w:eastAsia="Calibri" w:hAnsi="Calibri"/>
          <w:color w:val="2A3439"/>
          <w:sz w:val="21"/>
          <w:szCs w:val="21"/>
        </w:rPr>
        <w:t xml:space="preserve">Session 0 must already have happened. If the room cannot say the one-sentence definition, do not start this session. Replay Session 0.</w:t>
      </w:r>
    </w:p>
    <w:p>
      <w:pPr>
        <w:pStyle w:val="ListParagraph"/>
        <w:numPr>
          <w:ilvl w:val="0"/>
          <w:numId w:val="2"/>
        </w:numPr>
        <w:spacing w:after="60" w:before="0" w:line="260"/>
      </w:pPr>
      <w:r>
        <w:rPr>
          <w:rFonts w:ascii="Calibri" w:cs="Calibri" w:eastAsia="Calibri" w:hAnsi="Calibri"/>
          <w:color w:val="2A3439"/>
          <w:sz w:val="21"/>
          <w:szCs w:val="21"/>
        </w:rPr>
        <w:t xml:space="preserve">Bring the unsigned or partially signed charter. This session is how you finish section 3 and section 8.</w:t>
      </w:r>
    </w:p>
    <w:p>
      <w:pPr>
        <w:pStyle w:val="ListParagraph"/>
        <w:numPr>
          <w:ilvl w:val="0"/>
          <w:numId w:val="2"/>
        </w:numPr>
        <w:spacing w:after="60" w:before="0" w:line="260"/>
      </w:pPr>
      <w:r>
        <w:rPr>
          <w:rFonts w:ascii="Calibri" w:cs="Calibri" w:eastAsia="Calibri" w:hAnsi="Calibri"/>
          <w:color w:val="2A3439"/>
          <w:sz w:val="21"/>
          <w:szCs w:val="21"/>
        </w:rPr>
        <w:t xml:space="preserve">Do not design a 12-box org chart. The only structural decision today is reporting line and referee authority.</w:t>
      </w:r>
    </w:p>
    <w:p>
      <w:pPr>
        <w:pStyle w:val="ListParagraph"/>
        <w:numPr>
          <w:ilvl w:val="0"/>
          <w:numId w:val="2"/>
        </w:numPr>
        <w:spacing w:after="60" w:before="0" w:line="260"/>
      </w:pPr>
      <w:r>
        <w:rPr>
          <w:rFonts w:ascii="Calibri" w:cs="Calibri" w:eastAsia="Calibri" w:hAnsi="Calibri"/>
          <w:color w:val="2A3439"/>
          <w:sz w:val="21"/>
          <w:szCs w:val="21"/>
        </w:rPr>
        <w:t xml:space="preserve">Italic SAY blocks are spoken. Everything else is for you.</w:t>
      </w:r>
    </w:p>
    <w:p>
      <w:pPr>
        <w:spacing w:after="80" w:before="0" w:line="276"/>
      </w:pPr>
      <w:r>
        <w:rPr>
          <w:rFonts w:ascii="Calibri" w:cs="Calibri" w:eastAsia="Calibri" w:hAnsi="Calibri"/>
          <w:color w:val="2A3439"/>
          <w:sz w:val="21"/>
          <w:szCs w:val="21"/>
        </w:rPr>
        <w:t xml:space="preserve">In the room: CEO or sponsor, CRO, CMO, head of CS, CFO. If Sales Ops / Marketing Ops leaders exist, they may attend as guests. They do not close the reporting-line decision.</w:t>
      </w:r>
    </w:p>
    <w:tbl>
      <w:tblPr>
        <w:tblW w:type="dxa" w:w="10520"/>
        <w:tblBorders>
          <w:top w:val="single" w:color="auto" w:sz="4"/>
          <w:left w:val="single" w:color="auto" w:sz="4"/>
          <w:bottom w:val="single" w:color="auto" w:sz="4"/>
          <w:right w:val="single" w:color="auto" w:sz="4"/>
          <w:insideH w:val="single" w:color="auto" w:sz="4"/>
          <w:insideV w:val="single" w:color="auto" w:sz="4"/>
        </w:tblBorders>
      </w:tblPr>
      <w:tblGrid>
        <w:gridCol w:w="2800"/>
        <w:gridCol w:w="7720"/>
      </w:tblGrid>
      <w:tr>
        <w:tc>
          <w:tcPr>
            <w:tcW w:type="dxa" w:w="2800"/>
            <w:tcBorders>
              <w:top w:val="single" w:color="D4D8DA" w:sz="4"/>
              <w:left w:val="single" w:color="D4D8DA" w:sz="4"/>
              <w:bottom w:val="single" w:color="D4D8DA" w:sz="4"/>
              <w:right w:val="single" w:color="D4D8DA" w:sz="4"/>
            </w:tcBorders>
            <w:shd w:fill="2A3439" w:val="clear"/>
            <w:tcMar>
              <w:top w:type="dxa" w:w="50"/>
              <w:left w:type="dxa" w:w="80"/>
              <w:bottom w:type="dxa" w:w="50"/>
              <w:right w:type="dxa" w:w="80"/>
            </w:tcMar>
            <w:vAlign w:val="top"/>
          </w:tcPr>
          <w:p>
            <w:pPr>
              <w:spacing w:after="0" w:before="0" w:line="240"/>
            </w:pPr>
            <w:r>
              <w:rPr>
                <w:rFonts w:ascii="Calibri" w:cs="Calibri" w:eastAsia="Calibri" w:hAnsi="Calibri"/>
                <w:b/>
                <w:bCs/>
                <w:color w:val="FFFFFF"/>
                <w:sz w:val="17"/>
                <w:szCs w:val="17"/>
              </w:rPr>
              <w:t xml:space="preserve">Block</w:t>
            </w:r>
          </w:p>
        </w:tc>
        <w:tc>
          <w:tcPr>
            <w:tcW w:type="dxa" w:w="7720"/>
            <w:tcBorders>
              <w:top w:val="single" w:color="D4D8DA" w:sz="4"/>
              <w:left w:val="single" w:color="D4D8DA" w:sz="4"/>
              <w:bottom w:val="single" w:color="D4D8DA" w:sz="4"/>
              <w:right w:val="single" w:color="D4D8DA" w:sz="4"/>
            </w:tcBorders>
            <w:shd w:fill="2A3439" w:val="clear"/>
            <w:tcMar>
              <w:top w:type="dxa" w:w="50"/>
              <w:left w:type="dxa" w:w="80"/>
              <w:bottom w:type="dxa" w:w="50"/>
              <w:right w:type="dxa" w:w="80"/>
            </w:tcMar>
            <w:vAlign w:val="top"/>
          </w:tcPr>
          <w:p>
            <w:pPr>
              <w:spacing w:after="0" w:before="0" w:line="240"/>
            </w:pPr>
            <w:r>
              <w:rPr>
                <w:rFonts w:ascii="Calibri" w:cs="Calibri" w:eastAsia="Calibri" w:hAnsi="Calibri"/>
                <w:b/>
                <w:bCs/>
                <w:color w:val="FFFFFF"/>
                <w:sz w:val="17"/>
                <w:szCs w:val="17"/>
              </w:rPr>
              <w:t xml:space="preserve">Time</w:t>
            </w:r>
          </w:p>
        </w:tc>
      </w:tr>
      <w:tr>
        <w:tc>
          <w:tcPr>
            <w:tcW w:type="dxa" w:w="280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b/>
                <w:bCs/>
                <w:color w:val="2A3439"/>
                <w:sz w:val="18"/>
                <w:szCs w:val="18"/>
              </w:rPr>
              <w:t xml:space="preserve">Recap and contract</w:t>
            </w:r>
          </w:p>
        </w:tc>
        <w:tc>
          <w:tcPr>
            <w:tcW w:type="dxa" w:w="772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color w:val="2A3439"/>
                <w:sz w:val="18"/>
                <w:szCs w:val="18"/>
              </w:rPr>
              <w:t xml:space="preserve">5 min</w:t>
            </w:r>
          </w:p>
        </w:tc>
      </w:tr>
      <w:tr>
        <w:tc>
          <w:tcPr>
            <w:tcW w:type="dxa" w:w="280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b/>
                <w:bCs/>
                <w:color w:val="2A3439"/>
                <w:sz w:val="18"/>
                <w:szCs w:val="18"/>
              </w:rPr>
              <w:t xml:space="preserve">Why this pillar fails first</w:t>
            </w:r>
          </w:p>
        </w:tc>
        <w:tc>
          <w:tcPr>
            <w:tcW w:type="dxa" w:w="772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color w:val="2A3439"/>
                <w:sz w:val="18"/>
                <w:szCs w:val="18"/>
              </w:rPr>
              <w:t xml:space="preserve">8 min</w:t>
            </w:r>
          </w:p>
        </w:tc>
      </w:tr>
      <w:tr>
        <w:tc>
          <w:tcPr>
            <w:tcW w:type="dxa" w:w="280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b/>
                <w:bCs/>
                <w:color w:val="2A3439"/>
                <w:sz w:val="18"/>
                <w:szCs w:val="18"/>
              </w:rPr>
              <w:t xml:space="preserve">Ops vs RevOps</w:t>
            </w:r>
          </w:p>
        </w:tc>
        <w:tc>
          <w:tcPr>
            <w:tcW w:type="dxa" w:w="772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color w:val="2A3439"/>
                <w:sz w:val="18"/>
                <w:szCs w:val="18"/>
              </w:rPr>
              <w:t xml:space="preserve">12 min</w:t>
            </w:r>
          </w:p>
        </w:tc>
      </w:tr>
      <w:tr>
        <w:tc>
          <w:tcPr>
            <w:tcW w:type="dxa" w:w="280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b/>
                <w:bCs/>
                <w:color w:val="2A3439"/>
                <w:sz w:val="18"/>
                <w:szCs w:val="18"/>
              </w:rPr>
              <w:t xml:space="preserve">Three org models</w:t>
            </w:r>
          </w:p>
        </w:tc>
        <w:tc>
          <w:tcPr>
            <w:tcW w:type="dxa" w:w="772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color w:val="2A3439"/>
                <w:sz w:val="18"/>
                <w:szCs w:val="18"/>
              </w:rPr>
              <w:t xml:space="preserve">12–15 min</w:t>
            </w:r>
          </w:p>
        </w:tc>
      </w:tr>
      <w:tr>
        <w:tc>
          <w:tcPr>
            <w:tcW w:type="dxa" w:w="280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b/>
                <w:bCs/>
                <w:color w:val="2A3439"/>
                <w:sz w:val="18"/>
                <w:szCs w:val="18"/>
              </w:rPr>
              <w:t xml:space="preserve">Roles C-levels must understand</w:t>
            </w:r>
          </w:p>
        </w:tc>
        <w:tc>
          <w:tcPr>
            <w:tcW w:type="dxa" w:w="772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color w:val="2A3439"/>
                <w:sz w:val="18"/>
                <w:szCs w:val="18"/>
              </w:rPr>
              <w:t xml:space="preserve">8 min</w:t>
            </w:r>
          </w:p>
        </w:tc>
      </w:tr>
      <w:tr>
        <w:tc>
          <w:tcPr>
            <w:tcW w:type="dxa" w:w="280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b/>
                <w:bCs/>
                <w:color w:val="2A3439"/>
                <w:sz w:val="18"/>
                <w:szCs w:val="18"/>
              </w:rPr>
              <w:t xml:space="preserve">Incentives and culture</w:t>
            </w:r>
          </w:p>
        </w:tc>
        <w:tc>
          <w:tcPr>
            <w:tcW w:type="dxa" w:w="772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color w:val="2A3439"/>
                <w:sz w:val="18"/>
                <w:szCs w:val="18"/>
              </w:rPr>
              <w:t xml:space="preserve">10 min</w:t>
            </w:r>
          </w:p>
        </w:tc>
      </w:tr>
      <w:tr>
        <w:tc>
          <w:tcPr>
            <w:tcW w:type="dxa" w:w="280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b/>
                <w:bCs/>
                <w:color w:val="2A3439"/>
                <w:sz w:val="18"/>
                <w:szCs w:val="18"/>
              </w:rPr>
              <w:t xml:space="preserve">Workshop: lines, referee, charter</w:t>
            </w:r>
          </w:p>
        </w:tc>
        <w:tc>
          <w:tcPr>
            <w:tcW w:type="dxa" w:w="772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color w:val="2A3439"/>
                <w:sz w:val="18"/>
                <w:szCs w:val="18"/>
              </w:rPr>
              <w:t xml:space="preserve">15–20 min</w:t>
            </w:r>
          </w:p>
        </w:tc>
      </w:tr>
      <w:tr>
        <w:tc>
          <w:tcPr>
            <w:tcW w:type="dxa" w:w="280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b/>
                <w:bCs/>
                <w:color w:val="2A3439"/>
                <w:sz w:val="18"/>
                <w:szCs w:val="18"/>
              </w:rPr>
              <w:t xml:space="preserve">Close</w:t>
            </w:r>
          </w:p>
        </w:tc>
        <w:tc>
          <w:tcPr>
            <w:tcW w:type="dxa" w:w="772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color w:val="2A3439"/>
                <w:sz w:val="18"/>
                <w:szCs w:val="18"/>
              </w:rPr>
              <w:t xml:space="preserve">3 min</w:t>
            </w:r>
          </w:p>
        </w:tc>
      </w:tr>
    </w:tbl>
    <w:p>
      <w:pPr>
        <w:pBdr>
          <w:bottom w:val="single" w:color="4F46E5" w:sz="12" w:space="2"/>
        </w:pBdr>
        <w:spacing w:after="80" w:before="280" w:line="276"/>
      </w:pPr>
      <w:r>
        <w:rPr>
          <w:rFonts w:ascii="Calibri" w:cs="Calibri" w:eastAsia="Calibri" w:hAnsi="Calibri"/>
          <w:b/>
          <w:bCs/>
          <w:color w:val="2A3439"/>
          <w:sz w:val="28"/>
          <w:szCs w:val="28"/>
        </w:rPr>
        <w:t xml:space="preserve">0. Recap and contract — 5 min</w:t>
      </w:r>
    </w:p>
    <w:p>
      <w:pPr>
        <w:spacing w:after="40" w:before="160" w:line="240"/>
      </w:pPr>
      <w:r>
        <w:rPr>
          <w:rFonts w:ascii="Calibri" w:cs="Calibri" w:eastAsia="Calibri" w:hAnsi="Calibri"/>
          <w:b/>
          <w:bCs/>
          <w:color w:val="4F46E5"/>
          <w:sz w:val="16"/>
          <w:szCs w:val="16"/>
        </w:rPr>
        <w:t xml:space="preserve">SAY</w:t>
      </w:r>
    </w:p>
    <w:p>
      <w:pPr>
        <w:spacing w:after="120" w:before="0" w:line="276"/>
      </w:pPr>
      <w:r>
        <w:rPr>
          <w:rFonts w:ascii="Calibri" w:cs="Calibri" w:eastAsia="Calibri" w:hAnsi="Calibri"/>
          <w:i/>
          <w:iCs/>
          <w:color w:val="2A3439"/>
          <w:sz w:val="21"/>
          <w:szCs w:val="21"/>
        </w:rPr>
        <w:t xml:space="preserve">Last session we agreed on one sentence. RevOps is the operating system for the revenue path. It owns the seams, not the teams. Today is the political session. Tools will not save a reporting line that makes one function the judge of the others. I will not ask you for headcount. I will ask you who the referee reports to, and whether that person has the right to freeze a definition.</w:t>
      </w:r>
    </w:p>
    <w:p>
      <w:pPr>
        <w:spacing w:after="40" w:before="160" w:line="240"/>
      </w:pPr>
      <w:r>
        <w:rPr>
          <w:rFonts w:ascii="Calibri" w:cs="Calibri" w:eastAsia="Calibri" w:hAnsi="Calibri"/>
          <w:b/>
          <w:bCs/>
          <w:color w:val="4F46E5"/>
          <w:sz w:val="16"/>
          <w:szCs w:val="16"/>
        </w:rPr>
        <w:t xml:space="preserve">WRITE AND LEAVE UP</w:t>
      </w:r>
    </w:p>
    <w:p>
      <w:pPr>
        <w:pStyle w:val="ListParagraph"/>
        <w:numPr>
          <w:ilvl w:val="0"/>
          <w:numId w:val="3"/>
        </w:numPr>
        <w:spacing w:after="60" w:before="0" w:line="260"/>
      </w:pPr>
      <w:r>
        <w:rPr>
          <w:rFonts w:ascii="Calibri" w:cs="Calibri" w:eastAsia="Calibri" w:hAnsi="Calibri"/>
          <w:color w:val="2A3439"/>
          <w:sz w:val="21"/>
          <w:szCs w:val="21"/>
        </w:rPr>
        <w:t xml:space="preserve">Owns the seams. Not the teams.</w:t>
      </w:r>
    </w:p>
    <w:p>
      <w:pPr>
        <w:pStyle w:val="ListParagraph"/>
        <w:numPr>
          <w:ilvl w:val="0"/>
          <w:numId w:val="3"/>
        </w:numPr>
        <w:spacing w:after="60" w:before="0" w:line="260"/>
      </w:pPr>
      <w:r>
        <w:rPr>
          <w:rFonts w:ascii="Calibri" w:cs="Calibri" w:eastAsia="Calibri" w:hAnsi="Calibri"/>
          <w:color w:val="2A3439"/>
          <w:sz w:val="21"/>
          <w:szCs w:val="21"/>
        </w:rPr>
        <w:t xml:space="preserve">Decision today: reporting line + referee authority.</w:t>
      </w:r>
    </w:p>
    <w:p>
      <w:pPr>
        <w:pStyle w:val="ListParagraph"/>
        <w:numPr>
          <w:ilvl w:val="0"/>
          <w:numId w:val="3"/>
        </w:numPr>
        <w:spacing w:after="60" w:before="0" w:line="260"/>
      </w:pPr>
      <w:r>
        <w:rPr>
          <w:rFonts w:ascii="Calibri" w:cs="Calibri" w:eastAsia="Calibri" w:hAnsi="Calibri"/>
          <w:color w:val="2A3439"/>
          <w:sz w:val="21"/>
          <w:szCs w:val="21"/>
        </w:rPr>
        <w:t xml:space="preserve">Not today: hiring plan, titles inflation, tool stack.</w:t>
      </w:r>
    </w:p>
    <w:p>
      <w:pPr>
        <w:pBdr>
          <w:bottom w:val="single" w:color="4F46E5" w:sz="12" w:space="2"/>
        </w:pBdr>
        <w:spacing w:after="80" w:before="280" w:line="276"/>
      </w:pPr>
      <w:r>
        <w:rPr>
          <w:rFonts w:ascii="Calibri" w:cs="Calibri" w:eastAsia="Calibri" w:hAnsi="Calibri"/>
          <w:b/>
          <w:bCs/>
          <w:color w:val="2A3439"/>
          <w:sz w:val="28"/>
          <w:szCs w:val="28"/>
        </w:rPr>
        <w:t xml:space="preserve">1. Why this pillar fails first — 8 min</w:t>
      </w:r>
    </w:p>
    <w:p>
      <w:pPr>
        <w:spacing w:after="40" w:before="160" w:line="240"/>
      </w:pPr>
      <w:r>
        <w:rPr>
          <w:rFonts w:ascii="Calibri" w:cs="Calibri" w:eastAsia="Calibri" w:hAnsi="Calibri"/>
          <w:b/>
          <w:bCs/>
          <w:color w:val="4F46E5"/>
          <w:sz w:val="16"/>
          <w:szCs w:val="16"/>
        </w:rPr>
        <w:t xml:space="preserve">SAY</w:t>
      </w:r>
    </w:p>
    <w:p>
      <w:pPr>
        <w:spacing w:after="120" w:before="0" w:line="276"/>
      </w:pPr>
      <w:r>
        <w:rPr>
          <w:rFonts w:ascii="Calibri" w:cs="Calibri" w:eastAsia="Calibri" w:hAnsi="Calibri"/>
          <w:i/>
          <w:iCs/>
          <w:color w:val="2A3439"/>
          <w:sz w:val="21"/>
          <w:szCs w:val="21"/>
        </w:rPr>
        <w:t xml:space="preserve">RevOps fails more often from reporting lines and incentives than from CRM. You can hire a strong operator, give them a clean charter on paper, and still get a renamed Sales Ops team — because the person reports to the CRO only, is measured on bookings, and cannot tell Marketing that an MQL definition is frozen.</w:t>
      </w:r>
    </w:p>
    <w:p>
      <w:pPr>
        <w:spacing w:after="120" w:before="0" w:line="276"/>
      </w:pPr>
      <w:r>
        <w:rPr>
          <w:rFonts w:ascii="Calibri" w:cs="Calibri" w:eastAsia="Calibri" w:hAnsi="Calibri"/>
          <w:i/>
          <w:iCs/>
          <w:color w:val="2A3439"/>
          <w:sz w:val="21"/>
          <w:szCs w:val="21"/>
        </w:rPr>
        <w:t xml:space="preserve">The test is simple. When Marketing’s dashboard and Sales’ dashboard disagree on Tuesday, who is allowed to say which number is the company’s number — without negotiating it as a favor?</w:t>
      </w:r>
    </w:p>
    <w:p>
      <w:pPr>
        <w:spacing w:after="40" w:before="160" w:line="240"/>
      </w:pPr>
      <w:r>
        <w:rPr>
          <w:rFonts w:ascii="Calibri" w:cs="Calibri" w:eastAsia="Calibri" w:hAnsi="Calibri"/>
          <w:b/>
          <w:bCs/>
          <w:color w:val="4F46E5"/>
          <w:sz w:val="16"/>
          <w:szCs w:val="16"/>
        </w:rPr>
        <w:t xml:space="preserve">WRITE</w:t>
      </w:r>
    </w:p>
    <w:p>
      <w:pPr>
        <w:spacing w:after="120" w:before="0" w:line="276"/>
      </w:pPr>
      <w:r>
        <w:rPr>
          <w:rFonts w:ascii="Calibri" w:cs="Calibri" w:eastAsia="Calibri" w:hAnsi="Calibri"/>
          <w:b/>
          <w:bCs/>
          <w:color w:val="2A3439"/>
          <w:sz w:val="21"/>
          <w:szCs w:val="21"/>
        </w:rPr>
        <w:t xml:space="preserve">No referee = three versions of the truth, forever.</w:t>
      </w:r>
    </w:p>
    <w:p>
      <w:pPr>
        <w:spacing w:after="40" w:before="160" w:line="240"/>
      </w:pPr>
      <w:r>
        <w:rPr>
          <w:rFonts w:ascii="Calibri" w:cs="Calibri" w:eastAsia="Calibri" w:hAnsi="Calibri"/>
          <w:b/>
          <w:bCs/>
          <w:color w:val="4F46E5"/>
          <w:sz w:val="16"/>
          <w:szCs w:val="16"/>
        </w:rPr>
        <w:t xml:space="preserve">SAY</w:t>
      </w:r>
    </w:p>
    <w:p>
      <w:pPr>
        <w:spacing w:after="120" w:before="0" w:line="276"/>
      </w:pPr>
      <w:r>
        <w:rPr>
          <w:rFonts w:ascii="Calibri" w:cs="Calibri" w:eastAsia="Calibri" w:hAnsi="Calibri"/>
          <w:i/>
          <w:iCs/>
          <w:color w:val="2A3439"/>
          <w:sz w:val="21"/>
          <w:szCs w:val="21"/>
        </w:rPr>
        <w:t xml:space="preserve">If that person reports into one of the three functions, they will protect that function. That is not a character flaw. That is how organizations work.</w:t>
      </w:r>
    </w:p>
    <w:p>
      <w:pPr>
        <w:pBdr>
          <w:bottom w:val="single" w:color="4F46E5" w:sz="12" w:space="2"/>
        </w:pBdr>
        <w:spacing w:after="80" w:before="280" w:line="276"/>
      </w:pPr>
      <w:r>
        <w:rPr>
          <w:rFonts w:ascii="Calibri" w:cs="Calibri" w:eastAsia="Calibri" w:hAnsi="Calibri"/>
          <w:b/>
          <w:bCs/>
          <w:color w:val="2A3439"/>
          <w:sz w:val="28"/>
          <w:szCs w:val="28"/>
        </w:rPr>
        <w:t xml:space="preserve">2. Sales Ops, Marketing Ops, CS Ops, RevOps — 12 min</w:t>
      </w:r>
    </w:p>
    <w:p>
      <w:pPr>
        <w:spacing w:after="40" w:before="160" w:line="240"/>
      </w:pPr>
      <w:r>
        <w:rPr>
          <w:rFonts w:ascii="Calibri" w:cs="Calibri" w:eastAsia="Calibri" w:hAnsi="Calibri"/>
          <w:b/>
          <w:bCs/>
          <w:color w:val="4F46E5"/>
          <w:sz w:val="16"/>
          <w:szCs w:val="16"/>
        </w:rPr>
        <w:t xml:space="preserve">SAY</w:t>
      </w:r>
    </w:p>
    <w:p>
      <w:pPr>
        <w:spacing w:after="120" w:before="0" w:line="276"/>
      </w:pPr>
      <w:r>
        <w:rPr>
          <w:rFonts w:ascii="Calibri" w:cs="Calibri" w:eastAsia="Calibri" w:hAnsi="Calibri"/>
          <w:i/>
          <w:iCs/>
          <w:color w:val="2A3439"/>
          <w:sz w:val="21"/>
          <w:szCs w:val="21"/>
        </w:rPr>
        <w:t xml:space="preserve">These are not competing religions. The specialist ops teams can be excellent and the revenue engine can still be broken. They optimize a function. RevOps governs the connections.</w:t>
      </w:r>
    </w:p>
    <w:tbl>
      <w:tblPr>
        <w:tblW w:type="dxa" w:w="10520"/>
        <w:tblBorders>
          <w:top w:val="single" w:color="auto" w:sz="4"/>
          <w:left w:val="single" w:color="auto" w:sz="4"/>
          <w:bottom w:val="single" w:color="auto" w:sz="4"/>
          <w:right w:val="single" w:color="auto" w:sz="4"/>
          <w:insideH w:val="single" w:color="auto" w:sz="4"/>
          <w:insideV w:val="single" w:color="auto" w:sz="4"/>
        </w:tblBorders>
      </w:tblPr>
      <w:tblGrid>
        <w:gridCol w:w="2100"/>
        <w:gridCol w:w="2800"/>
        <w:gridCol w:w="2800"/>
        <w:gridCol w:w="2820"/>
      </w:tblGrid>
      <w:tr>
        <w:tc>
          <w:tcPr>
            <w:tcW w:type="dxa" w:w="2100"/>
            <w:tcBorders>
              <w:top w:val="single" w:color="D4D8DA" w:sz="4"/>
              <w:left w:val="single" w:color="D4D8DA" w:sz="4"/>
              <w:bottom w:val="single" w:color="D4D8DA" w:sz="4"/>
              <w:right w:val="single" w:color="D4D8DA" w:sz="4"/>
            </w:tcBorders>
            <w:shd w:fill="2A3439" w:val="clear"/>
            <w:tcMar>
              <w:top w:type="dxa" w:w="50"/>
              <w:left w:type="dxa" w:w="80"/>
              <w:bottom w:type="dxa" w:w="50"/>
              <w:right w:type="dxa" w:w="80"/>
            </w:tcMar>
            <w:vAlign w:val="top"/>
          </w:tcPr>
          <w:p>
            <w:pPr>
              <w:spacing w:after="0" w:before="0" w:line="240"/>
            </w:pPr>
            <w:r>
              <w:rPr>
                <w:rFonts w:ascii="Calibri" w:cs="Calibri" w:eastAsia="Calibri" w:hAnsi="Calibri"/>
                <w:b/>
                <w:bCs/>
                <w:color w:val="FFFFFF"/>
                <w:sz w:val="17"/>
                <w:szCs w:val="17"/>
              </w:rPr>
              <w:t xml:space="preserve"/>
            </w:r>
          </w:p>
        </w:tc>
        <w:tc>
          <w:tcPr>
            <w:tcW w:type="dxa" w:w="2800"/>
            <w:tcBorders>
              <w:top w:val="single" w:color="D4D8DA" w:sz="4"/>
              <w:left w:val="single" w:color="D4D8DA" w:sz="4"/>
              <w:bottom w:val="single" w:color="D4D8DA" w:sz="4"/>
              <w:right w:val="single" w:color="D4D8DA" w:sz="4"/>
            </w:tcBorders>
            <w:shd w:fill="2A3439" w:val="clear"/>
            <w:tcMar>
              <w:top w:type="dxa" w:w="50"/>
              <w:left w:type="dxa" w:w="80"/>
              <w:bottom w:type="dxa" w:w="50"/>
              <w:right w:type="dxa" w:w="80"/>
            </w:tcMar>
            <w:vAlign w:val="top"/>
          </w:tcPr>
          <w:p>
            <w:pPr>
              <w:spacing w:after="0" w:before="0" w:line="240"/>
            </w:pPr>
            <w:r>
              <w:rPr>
                <w:rFonts w:ascii="Calibri" w:cs="Calibri" w:eastAsia="Calibri" w:hAnsi="Calibri"/>
                <w:b/>
                <w:bCs/>
                <w:color w:val="FFFFFF"/>
                <w:sz w:val="17"/>
                <w:szCs w:val="17"/>
              </w:rPr>
              <w:t xml:space="preserve">Sales Ops</w:t>
            </w:r>
          </w:p>
        </w:tc>
        <w:tc>
          <w:tcPr>
            <w:tcW w:type="dxa" w:w="2800"/>
            <w:tcBorders>
              <w:top w:val="single" w:color="D4D8DA" w:sz="4"/>
              <w:left w:val="single" w:color="D4D8DA" w:sz="4"/>
              <w:bottom w:val="single" w:color="D4D8DA" w:sz="4"/>
              <w:right w:val="single" w:color="D4D8DA" w:sz="4"/>
            </w:tcBorders>
            <w:shd w:fill="2A3439" w:val="clear"/>
            <w:tcMar>
              <w:top w:type="dxa" w:w="50"/>
              <w:left w:type="dxa" w:w="80"/>
              <w:bottom w:type="dxa" w:w="50"/>
              <w:right w:type="dxa" w:w="80"/>
            </w:tcMar>
            <w:vAlign w:val="top"/>
          </w:tcPr>
          <w:p>
            <w:pPr>
              <w:spacing w:after="0" w:before="0" w:line="240"/>
            </w:pPr>
            <w:r>
              <w:rPr>
                <w:rFonts w:ascii="Calibri" w:cs="Calibri" w:eastAsia="Calibri" w:hAnsi="Calibri"/>
                <w:b/>
                <w:bCs/>
                <w:color w:val="FFFFFF"/>
                <w:sz w:val="17"/>
                <w:szCs w:val="17"/>
              </w:rPr>
              <w:t xml:space="preserve">Marketing / CS Ops</w:t>
            </w:r>
          </w:p>
        </w:tc>
        <w:tc>
          <w:tcPr>
            <w:tcW w:type="dxa" w:w="2820"/>
            <w:tcBorders>
              <w:top w:val="single" w:color="D4D8DA" w:sz="4"/>
              <w:left w:val="single" w:color="D4D8DA" w:sz="4"/>
              <w:bottom w:val="single" w:color="D4D8DA" w:sz="4"/>
              <w:right w:val="single" w:color="D4D8DA" w:sz="4"/>
            </w:tcBorders>
            <w:shd w:fill="2A3439" w:val="clear"/>
            <w:tcMar>
              <w:top w:type="dxa" w:w="50"/>
              <w:left w:type="dxa" w:w="80"/>
              <w:bottom w:type="dxa" w:w="50"/>
              <w:right w:type="dxa" w:w="80"/>
            </w:tcMar>
            <w:vAlign w:val="top"/>
          </w:tcPr>
          <w:p>
            <w:pPr>
              <w:spacing w:after="0" w:before="0" w:line="240"/>
            </w:pPr>
            <w:r>
              <w:rPr>
                <w:rFonts w:ascii="Calibri" w:cs="Calibri" w:eastAsia="Calibri" w:hAnsi="Calibri"/>
                <w:b/>
                <w:bCs/>
                <w:color w:val="FFFFFF"/>
                <w:sz w:val="17"/>
                <w:szCs w:val="17"/>
              </w:rPr>
              <w:t xml:space="preserve">RevOps</w:t>
            </w:r>
          </w:p>
        </w:tc>
      </w:tr>
      <w:tr>
        <w:tc>
          <w:tcPr>
            <w:tcW w:type="dxa" w:w="2100"/>
            <w:tcBorders>
              <w:top w:val="single" w:color="D4D8DA" w:sz="4"/>
              <w:left w:val="single" w:color="D4D8DA" w:sz="4"/>
              <w:bottom w:val="single" w:color="D4D8DA" w:sz="4"/>
              <w:right w:val="single" w:color="D4D8DA" w:sz="4"/>
            </w:tcBorders>
            <w:shd w:fill="F4F5F6" w:val="clear"/>
            <w:tcMar>
              <w:top w:type="dxa" w:w="50"/>
              <w:left w:type="dxa" w:w="80"/>
              <w:bottom w:type="dxa" w:w="50"/>
              <w:right w:type="dxa" w:w="80"/>
            </w:tcMar>
            <w:vAlign w:val="top"/>
          </w:tcPr>
          <w:p>
            <w:pPr>
              <w:spacing w:after="0" w:before="0" w:line="240"/>
            </w:pPr>
            <w:r>
              <w:rPr>
                <w:rFonts w:ascii="Calibri" w:cs="Calibri" w:eastAsia="Calibri" w:hAnsi="Calibri"/>
                <w:b/>
                <w:bCs/>
                <w:color w:val="2A3439"/>
                <w:sz w:val="18"/>
                <w:szCs w:val="18"/>
              </w:rPr>
              <w:t xml:space="preserve">Scope</w:t>
            </w:r>
          </w:p>
        </w:tc>
        <w:tc>
          <w:tcPr>
            <w:tcW w:type="dxa" w:w="280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color w:val="2A3439"/>
                <w:sz w:val="17"/>
                <w:szCs w:val="17"/>
              </w:rPr>
              <w:t xml:space="preserve">Sales team</w:t>
            </w:r>
          </w:p>
        </w:tc>
        <w:tc>
          <w:tcPr>
            <w:tcW w:type="dxa" w:w="280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color w:val="2A3439"/>
                <w:sz w:val="17"/>
                <w:szCs w:val="17"/>
              </w:rPr>
              <w:t xml:space="preserve">One function</w:t>
            </w:r>
          </w:p>
        </w:tc>
        <w:tc>
          <w:tcPr>
            <w:tcW w:type="dxa" w:w="282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color w:val="2A3439"/>
                <w:sz w:val="17"/>
                <w:szCs w:val="17"/>
              </w:rPr>
              <w:t xml:space="preserve">Full revenue path</w:t>
            </w:r>
          </w:p>
        </w:tc>
      </w:tr>
      <w:tr>
        <w:tc>
          <w:tcPr>
            <w:tcW w:type="dxa" w:w="2100"/>
            <w:tcBorders>
              <w:top w:val="single" w:color="D4D8DA" w:sz="4"/>
              <w:left w:val="single" w:color="D4D8DA" w:sz="4"/>
              <w:bottom w:val="single" w:color="D4D8DA" w:sz="4"/>
              <w:right w:val="single" w:color="D4D8DA" w:sz="4"/>
            </w:tcBorders>
            <w:shd w:fill="F4F5F6" w:val="clear"/>
            <w:tcMar>
              <w:top w:type="dxa" w:w="50"/>
              <w:left w:type="dxa" w:w="80"/>
              <w:bottom w:type="dxa" w:w="50"/>
              <w:right w:type="dxa" w:w="80"/>
            </w:tcMar>
            <w:vAlign w:val="top"/>
          </w:tcPr>
          <w:p>
            <w:pPr>
              <w:spacing w:after="0" w:before="0" w:line="240"/>
            </w:pPr>
            <w:r>
              <w:rPr>
                <w:rFonts w:ascii="Calibri" w:cs="Calibri" w:eastAsia="Calibri" w:hAnsi="Calibri"/>
                <w:b/>
                <w:bCs/>
                <w:color w:val="2A3439"/>
                <w:sz w:val="18"/>
                <w:szCs w:val="18"/>
              </w:rPr>
              <w:t xml:space="preserve">Owns</w:t>
            </w:r>
          </w:p>
        </w:tc>
        <w:tc>
          <w:tcPr>
            <w:tcW w:type="dxa" w:w="280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color w:val="2A3439"/>
                <w:sz w:val="17"/>
                <w:szCs w:val="17"/>
              </w:rPr>
              <w:t xml:space="preserve">Pipeline process, quotas, sales CRM use</w:t>
            </w:r>
          </w:p>
        </w:tc>
        <w:tc>
          <w:tcPr>
            <w:tcW w:type="dxa" w:w="280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color w:val="2A3439"/>
                <w:sz w:val="17"/>
                <w:szCs w:val="17"/>
              </w:rPr>
              <w:t xml:space="preserve">Campaign ops, MAP, CS tooling, health scores</w:t>
            </w:r>
          </w:p>
        </w:tc>
        <w:tc>
          <w:tcPr>
            <w:tcW w:type="dxa" w:w="282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color w:val="2A3439"/>
                <w:sz w:val="17"/>
                <w:szCs w:val="17"/>
              </w:rPr>
              <w:t xml:space="preserve">Shared definitions, handoffs, architecture, one scorecard</w:t>
            </w:r>
          </w:p>
        </w:tc>
      </w:tr>
      <w:tr>
        <w:tc>
          <w:tcPr>
            <w:tcW w:type="dxa" w:w="2100"/>
            <w:tcBorders>
              <w:top w:val="single" w:color="D4D8DA" w:sz="4"/>
              <w:left w:val="single" w:color="D4D8DA" w:sz="4"/>
              <w:bottom w:val="single" w:color="D4D8DA" w:sz="4"/>
              <w:right w:val="single" w:color="D4D8DA" w:sz="4"/>
            </w:tcBorders>
            <w:shd w:fill="F4F5F6" w:val="clear"/>
            <w:tcMar>
              <w:top w:type="dxa" w:w="50"/>
              <w:left w:type="dxa" w:w="80"/>
              <w:bottom w:type="dxa" w:w="50"/>
              <w:right w:type="dxa" w:w="80"/>
            </w:tcMar>
            <w:vAlign w:val="top"/>
          </w:tcPr>
          <w:p>
            <w:pPr>
              <w:spacing w:after="0" w:before="0" w:line="240"/>
            </w:pPr>
            <w:r>
              <w:rPr>
                <w:rFonts w:ascii="Calibri" w:cs="Calibri" w:eastAsia="Calibri" w:hAnsi="Calibri"/>
                <w:b/>
                <w:bCs/>
                <w:color w:val="2A3439"/>
                <w:sz w:val="18"/>
                <w:szCs w:val="18"/>
              </w:rPr>
              <w:t xml:space="preserve">Reports to</w:t>
            </w:r>
          </w:p>
        </w:tc>
        <w:tc>
          <w:tcPr>
            <w:tcW w:type="dxa" w:w="280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color w:val="2A3439"/>
                <w:sz w:val="17"/>
                <w:szCs w:val="17"/>
              </w:rPr>
              <w:t xml:space="preserve">Sales leader</w:t>
            </w:r>
          </w:p>
        </w:tc>
        <w:tc>
          <w:tcPr>
            <w:tcW w:type="dxa" w:w="280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color w:val="2A3439"/>
                <w:sz w:val="17"/>
                <w:szCs w:val="17"/>
              </w:rPr>
              <w:t xml:space="preserve">CMO or CS leader</w:t>
            </w:r>
          </w:p>
        </w:tc>
        <w:tc>
          <w:tcPr>
            <w:tcW w:type="dxa" w:w="282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color w:val="2A3439"/>
                <w:sz w:val="17"/>
                <w:szCs w:val="17"/>
              </w:rPr>
              <w:t xml:space="preserve">CRO, CEO, or COO — not only one function</w:t>
            </w:r>
          </w:p>
        </w:tc>
      </w:tr>
      <w:tr>
        <w:tc>
          <w:tcPr>
            <w:tcW w:type="dxa" w:w="2100"/>
            <w:tcBorders>
              <w:top w:val="single" w:color="D4D8DA" w:sz="4"/>
              <w:left w:val="single" w:color="D4D8DA" w:sz="4"/>
              <w:bottom w:val="single" w:color="D4D8DA" w:sz="4"/>
              <w:right w:val="single" w:color="D4D8DA" w:sz="4"/>
            </w:tcBorders>
            <w:shd w:fill="F4F5F6" w:val="clear"/>
            <w:tcMar>
              <w:top w:type="dxa" w:w="50"/>
              <w:left w:type="dxa" w:w="80"/>
              <w:bottom w:type="dxa" w:w="50"/>
              <w:right w:type="dxa" w:w="80"/>
            </w:tcMar>
            <w:vAlign w:val="top"/>
          </w:tcPr>
          <w:p>
            <w:pPr>
              <w:spacing w:after="0" w:before="0" w:line="240"/>
            </w:pPr>
            <w:r>
              <w:rPr>
                <w:rFonts w:ascii="Calibri" w:cs="Calibri" w:eastAsia="Calibri" w:hAnsi="Calibri"/>
                <w:b/>
                <w:bCs/>
                <w:color w:val="2A3439"/>
                <w:sz w:val="18"/>
                <w:szCs w:val="18"/>
              </w:rPr>
              <w:t xml:space="preserve">Success looks like</w:t>
            </w:r>
          </w:p>
        </w:tc>
        <w:tc>
          <w:tcPr>
            <w:tcW w:type="dxa" w:w="280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color w:val="2A3439"/>
                <w:sz w:val="17"/>
                <w:szCs w:val="17"/>
              </w:rPr>
              <w:t xml:space="preserve">Rep productivity, forecast hygiene inside sales</w:t>
            </w:r>
          </w:p>
        </w:tc>
        <w:tc>
          <w:tcPr>
            <w:tcW w:type="dxa" w:w="280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color w:val="2A3439"/>
                <w:sz w:val="17"/>
                <w:szCs w:val="17"/>
              </w:rPr>
              <w:t xml:space="preserve">Campaign throughput, CS process quality</w:t>
            </w:r>
          </w:p>
        </w:tc>
        <w:tc>
          <w:tcPr>
            <w:tcW w:type="dxa" w:w="282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color w:val="2A3439"/>
                <w:sz w:val="17"/>
                <w:szCs w:val="17"/>
              </w:rPr>
              <w:t xml:space="preserve">One number. Predictable path. Seams that hold.</w:t>
            </w:r>
          </w:p>
        </w:tc>
      </w:tr>
    </w:tbl>
    <w:p>
      <w:pPr>
        <w:spacing w:after="40" w:before="160" w:line="240"/>
      </w:pPr>
      <w:r>
        <w:rPr>
          <w:rFonts w:ascii="Calibri" w:cs="Calibri" w:eastAsia="Calibri" w:hAnsi="Calibri"/>
          <w:b/>
          <w:bCs/>
          <w:color w:val="4F46E5"/>
          <w:sz w:val="16"/>
          <w:szCs w:val="16"/>
        </w:rPr>
        <w:t xml:space="preserve">SAY</w:t>
      </w:r>
    </w:p>
    <w:p>
      <w:pPr>
        <w:spacing w:after="120" w:before="0" w:line="276"/>
      </w:pPr>
      <w:r>
        <w:rPr>
          <w:rFonts w:ascii="Calibri" w:cs="Calibri" w:eastAsia="Calibri" w:hAnsi="Calibri"/>
          <w:i/>
          <w:iCs/>
          <w:color w:val="2A3439"/>
          <w:sz w:val="21"/>
          <w:szCs w:val="21"/>
        </w:rPr>
        <w:t xml:space="preserve">The best model does not fire Sales Ops. It puts a layer above the specialists so they stop inventing private definitions. If you only have one ops person today, that person can wear both hats — but the hat that governs the seams cannot report only to Sales.</w:t>
      </w:r>
    </w:p>
    <w:p>
      <w:pPr>
        <w:spacing w:after="40" w:before="160" w:line="240"/>
      </w:pPr>
      <w:r>
        <w:rPr>
          <w:rFonts w:ascii="Calibri" w:cs="Calibri" w:eastAsia="Calibri" w:hAnsi="Calibri"/>
          <w:b/>
          <w:bCs/>
          <w:color w:val="4F46E5"/>
          <w:sz w:val="16"/>
          <w:szCs w:val="16"/>
        </w:rPr>
        <w:t xml:space="preserve">IF THEY SAY “WE ALREADY HAVE REVOPS ON THE LINKEDIN TITLE”</w:t>
      </w:r>
    </w:p>
    <w:p>
      <w:pPr>
        <w:spacing w:after="120" w:before="0" w:line="276"/>
      </w:pPr>
      <w:r>
        <w:rPr>
          <w:rFonts w:ascii="Calibri" w:cs="Calibri" w:eastAsia="Calibri" w:hAnsi="Calibri"/>
          <w:i/>
          <w:iCs/>
          <w:color w:val="2A3439"/>
          <w:sz w:val="21"/>
          <w:szCs w:val="21"/>
        </w:rPr>
        <w:t xml:space="preserve">Read the reporting line and the last three dashboards. Title is not the test. Authority over definitions is the test.</w:t>
      </w:r>
    </w:p>
    <w:p>
      <w:pPr>
        <w:pBdr>
          <w:bottom w:val="single" w:color="4F46E5" w:sz="12" w:space="2"/>
        </w:pBdr>
        <w:spacing w:after="80" w:before="280" w:line="276"/>
      </w:pPr>
      <w:r>
        <w:rPr>
          <w:rFonts w:ascii="Calibri" w:cs="Calibri" w:eastAsia="Calibri" w:hAnsi="Calibri"/>
          <w:b/>
          <w:bCs/>
          <w:color w:val="2A3439"/>
          <w:sz w:val="28"/>
          <w:szCs w:val="28"/>
        </w:rPr>
        <w:t xml:space="preserve">3. Three org models — 12–15 min</w:t>
      </w:r>
    </w:p>
    <w:p>
      <w:pPr>
        <w:spacing w:after="40" w:before="160" w:line="240"/>
      </w:pPr>
      <w:r>
        <w:rPr>
          <w:rFonts w:ascii="Calibri" w:cs="Calibri" w:eastAsia="Calibri" w:hAnsi="Calibri"/>
          <w:b/>
          <w:bCs/>
          <w:color w:val="4F46E5"/>
          <w:sz w:val="16"/>
          <w:szCs w:val="16"/>
        </w:rPr>
        <w:t xml:space="preserve">SAY</w:t>
      </w:r>
    </w:p>
    <w:p>
      <w:pPr>
        <w:spacing w:after="120" w:before="0" w:line="276"/>
      </w:pPr>
      <w:r>
        <w:rPr>
          <w:rFonts w:ascii="Calibri" w:cs="Calibri" w:eastAsia="Calibri" w:hAnsi="Calibri"/>
          <w:i/>
          <w:iCs/>
          <w:color w:val="2A3439"/>
          <w:sz w:val="21"/>
          <w:szCs w:val="21"/>
        </w:rPr>
        <w:t xml:space="preserve">There are only three shapes worth discussing. I will give you the trade-off. You will pick one, or name why you will not.</w:t>
      </w:r>
    </w:p>
    <w:tbl>
      <w:tblPr>
        <w:tblW w:type="dxa" w:w="10520"/>
        <w:tblBorders>
          <w:top w:val="single" w:color="auto" w:sz="4"/>
          <w:left w:val="single" w:color="auto" w:sz="4"/>
          <w:bottom w:val="single" w:color="auto" w:sz="4"/>
          <w:right w:val="single" w:color="auto" w:sz="4"/>
          <w:insideH w:val="single" w:color="auto" w:sz="4"/>
          <w:insideV w:val="single" w:color="auto" w:sz="4"/>
        </w:tblBorders>
      </w:tblPr>
      <w:tblGrid>
        <w:gridCol w:w="2400"/>
        <w:gridCol w:w="4060"/>
        <w:gridCol w:w="4060"/>
      </w:tblGrid>
      <w:tr>
        <w:tc>
          <w:tcPr>
            <w:tcW w:type="dxa" w:w="2400"/>
            <w:tcBorders>
              <w:top w:val="single" w:color="D4D8DA" w:sz="4"/>
              <w:left w:val="single" w:color="D4D8DA" w:sz="4"/>
              <w:bottom w:val="single" w:color="D4D8DA" w:sz="4"/>
              <w:right w:val="single" w:color="D4D8DA" w:sz="4"/>
            </w:tcBorders>
            <w:shd w:fill="2A3439" w:val="clear"/>
            <w:tcMar>
              <w:top w:type="dxa" w:w="50"/>
              <w:left w:type="dxa" w:w="80"/>
              <w:bottom w:type="dxa" w:w="50"/>
              <w:right w:type="dxa" w:w="80"/>
            </w:tcMar>
            <w:vAlign w:val="top"/>
          </w:tcPr>
          <w:p>
            <w:pPr>
              <w:spacing w:after="0" w:before="0" w:line="240"/>
            </w:pPr>
            <w:r>
              <w:rPr>
                <w:rFonts w:ascii="Calibri" w:cs="Calibri" w:eastAsia="Calibri" w:hAnsi="Calibri"/>
                <w:b/>
                <w:bCs/>
                <w:color w:val="FFFFFF"/>
                <w:sz w:val="17"/>
                <w:szCs w:val="17"/>
              </w:rPr>
              <w:t xml:space="preserve">Model</w:t>
            </w:r>
          </w:p>
        </w:tc>
        <w:tc>
          <w:tcPr>
            <w:tcW w:type="dxa" w:w="4060"/>
            <w:tcBorders>
              <w:top w:val="single" w:color="D4D8DA" w:sz="4"/>
              <w:left w:val="single" w:color="D4D8DA" w:sz="4"/>
              <w:bottom w:val="single" w:color="D4D8DA" w:sz="4"/>
              <w:right w:val="single" w:color="D4D8DA" w:sz="4"/>
            </w:tcBorders>
            <w:shd w:fill="2A3439" w:val="clear"/>
            <w:tcMar>
              <w:top w:type="dxa" w:w="50"/>
              <w:left w:type="dxa" w:w="80"/>
              <w:bottom w:type="dxa" w:w="50"/>
              <w:right w:type="dxa" w:w="80"/>
            </w:tcMar>
            <w:vAlign w:val="top"/>
          </w:tcPr>
          <w:p>
            <w:pPr>
              <w:spacing w:after="0" w:before="0" w:line="240"/>
            </w:pPr>
            <w:r>
              <w:rPr>
                <w:rFonts w:ascii="Calibri" w:cs="Calibri" w:eastAsia="Calibri" w:hAnsi="Calibri"/>
                <w:b/>
                <w:bCs/>
                <w:color w:val="FFFFFF"/>
                <w:sz w:val="17"/>
                <w:szCs w:val="17"/>
              </w:rPr>
              <w:t xml:space="preserve">When it works</w:t>
            </w:r>
          </w:p>
        </w:tc>
        <w:tc>
          <w:tcPr>
            <w:tcW w:type="dxa" w:w="4060"/>
            <w:tcBorders>
              <w:top w:val="single" w:color="D4D8DA" w:sz="4"/>
              <w:left w:val="single" w:color="D4D8DA" w:sz="4"/>
              <w:bottom w:val="single" w:color="D4D8DA" w:sz="4"/>
              <w:right w:val="single" w:color="D4D8DA" w:sz="4"/>
            </w:tcBorders>
            <w:shd w:fill="2A3439" w:val="clear"/>
            <w:tcMar>
              <w:top w:type="dxa" w:w="50"/>
              <w:left w:type="dxa" w:w="80"/>
              <w:bottom w:type="dxa" w:w="50"/>
              <w:right w:type="dxa" w:w="80"/>
            </w:tcMar>
            <w:vAlign w:val="top"/>
          </w:tcPr>
          <w:p>
            <w:pPr>
              <w:spacing w:after="0" w:before="0" w:line="240"/>
            </w:pPr>
            <w:r>
              <w:rPr>
                <w:rFonts w:ascii="Calibri" w:cs="Calibri" w:eastAsia="Calibri" w:hAnsi="Calibri"/>
                <w:b/>
                <w:bCs/>
                <w:color w:val="FFFFFF"/>
                <w:sz w:val="17"/>
                <w:szCs w:val="17"/>
              </w:rPr>
              <w:t xml:space="preserve">How it dies</w:t>
            </w:r>
          </w:p>
        </w:tc>
      </w:tr>
      <w:tr>
        <w:tc>
          <w:tcPr>
            <w:tcW w:type="dxa" w:w="240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b/>
                <w:bCs/>
                <w:color w:val="2A3439"/>
                <w:sz w:val="17"/>
                <w:szCs w:val="17"/>
              </w:rPr>
              <w:t xml:space="preserve">Centralized RevOps to CRO or CEO</w:t>
            </w:r>
          </w:p>
        </w:tc>
        <w:tc>
          <w:tcPr>
            <w:tcW w:type="dxa" w:w="406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color w:val="2A3439"/>
                <w:sz w:val="17"/>
                <w:szCs w:val="17"/>
              </w:rPr>
              <w:t xml:space="preserve">One GTM motion. Sponsor who will not let Sales dominate the dictionary.</w:t>
            </w:r>
          </w:p>
        </w:tc>
        <w:tc>
          <w:tcPr>
            <w:tcW w:type="dxa" w:w="406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color w:val="2A3439"/>
                <w:sz w:val="17"/>
                <w:szCs w:val="17"/>
              </w:rPr>
              <w:t xml:space="preserve">CRO treats RevOps as sales staff. Marketing and CS stop bringing real data.</w:t>
            </w:r>
          </w:p>
        </w:tc>
      </w:tr>
      <w:tr>
        <w:tc>
          <w:tcPr>
            <w:tcW w:type="dxa" w:w="240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b/>
                <w:bCs/>
                <w:color w:val="2A3439"/>
                <w:sz w:val="17"/>
                <w:szCs w:val="17"/>
              </w:rPr>
              <w:t xml:space="preserve">Hub and spoke</w:t>
            </w:r>
          </w:p>
        </w:tc>
        <w:tc>
          <w:tcPr>
            <w:tcW w:type="dxa" w:w="406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color w:val="2A3439"/>
                <w:sz w:val="17"/>
                <w:szCs w:val="17"/>
              </w:rPr>
              <w:t xml:space="preserve">Larger org, several motions. Central team owns definitions; specialists sit with functions.</w:t>
            </w:r>
          </w:p>
        </w:tc>
        <w:tc>
          <w:tcPr>
            <w:tcW w:type="dxa" w:w="406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color w:val="2A3439"/>
                <w:sz w:val="17"/>
                <w:szCs w:val="17"/>
              </w:rPr>
              <w:t xml:space="preserve">Spokes ignore the hub. You get four dictionaries again, with better job titles.</w:t>
            </w:r>
          </w:p>
        </w:tc>
      </w:tr>
      <w:tr>
        <w:tc>
          <w:tcPr>
            <w:tcW w:type="dxa" w:w="240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b/>
                <w:bCs/>
                <w:color w:val="2A3439"/>
                <w:sz w:val="17"/>
                <w:szCs w:val="17"/>
              </w:rPr>
              <w:t xml:space="preserve">RevOps title on Sales Ops</w:t>
            </w:r>
          </w:p>
        </w:tc>
        <w:tc>
          <w:tcPr>
            <w:tcW w:type="dxa" w:w="406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color w:val="2A3439"/>
                <w:sz w:val="17"/>
                <w:szCs w:val="17"/>
              </w:rPr>
              <w:t xml:space="preserve">Almost never, except as a 30-day label while you decide.</w:t>
            </w:r>
          </w:p>
        </w:tc>
        <w:tc>
          <w:tcPr>
            <w:tcW w:type="dxa" w:w="406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color w:val="2A3439"/>
                <w:sz w:val="17"/>
                <w:szCs w:val="17"/>
              </w:rPr>
              <w:t xml:space="preserve">This is the default failure. It feels cheap and changes nothing.</w:t>
            </w:r>
          </w:p>
        </w:tc>
      </w:tr>
    </w:tbl>
    <w:p>
      <w:pPr>
        <w:spacing w:after="40" w:before="160" w:line="240"/>
      </w:pPr>
      <w:r>
        <w:rPr>
          <w:rFonts w:ascii="Calibri" w:cs="Calibri" w:eastAsia="Calibri" w:hAnsi="Calibri"/>
          <w:b/>
          <w:bCs/>
          <w:color w:val="4F46E5"/>
          <w:sz w:val="16"/>
          <w:szCs w:val="16"/>
        </w:rPr>
        <w:t xml:space="preserve">SAY</w:t>
      </w:r>
    </w:p>
    <w:p>
      <w:pPr>
        <w:spacing w:after="120" w:before="0" w:line="276"/>
      </w:pPr>
      <w:r>
        <w:rPr>
          <w:rFonts w:ascii="Calibri" w:cs="Calibri" w:eastAsia="Calibri" w:hAnsi="Calibri"/>
          <w:i/>
          <w:iCs/>
          <w:color w:val="2A3439"/>
          <w:sz w:val="21"/>
          <w:szCs w:val="21"/>
        </w:rPr>
        <w:t xml:space="preserve">If the company is small, centralized is the honest model. Hub and spoke is a later problem. Relabeling Sales Ops is how this conversation comes back in six months.</w:t>
      </w:r>
    </w:p>
    <w:p>
      <w:pPr>
        <w:spacing w:after="120" w:before="0" w:line="276"/>
      </w:pPr>
      <w:r>
        <w:rPr>
          <w:rFonts w:ascii="Calibri" w:cs="Calibri" w:eastAsia="Calibri" w:hAnsi="Calibri"/>
          <w:i/>
          <w:iCs/>
          <w:color w:val="2A3439"/>
          <w:sz w:val="21"/>
          <w:szCs w:val="21"/>
        </w:rPr>
        <w:t xml:space="preserve">Reporting to the CRO can work. Reporting to the CEO or COO can work. Reporting only to the VP of Sales cannot — unless that person also owns Marketing and CS, in which case you already have a CRO and you should say so.</w:t>
      </w:r>
    </w:p>
    <w:p>
      <w:pPr>
        <w:pBdr>
          <w:bottom w:val="single" w:color="4F46E5" w:sz="12" w:space="2"/>
        </w:pBdr>
        <w:spacing w:after="80" w:before="280" w:line="276"/>
      </w:pPr>
      <w:r>
        <w:rPr>
          <w:rFonts w:ascii="Calibri" w:cs="Calibri" w:eastAsia="Calibri" w:hAnsi="Calibri"/>
          <w:b/>
          <w:bCs/>
          <w:color w:val="2A3439"/>
          <w:sz w:val="28"/>
          <w:szCs w:val="28"/>
        </w:rPr>
        <w:t xml:space="preserve">4. Roles C-levels actually need — 8 min</w:t>
      </w:r>
    </w:p>
    <w:p>
      <w:pPr>
        <w:spacing w:after="40" w:before="160" w:line="240"/>
      </w:pPr>
      <w:r>
        <w:rPr>
          <w:rFonts w:ascii="Calibri" w:cs="Calibri" w:eastAsia="Calibri" w:hAnsi="Calibri"/>
          <w:b/>
          <w:bCs/>
          <w:color w:val="4F46E5"/>
          <w:sz w:val="16"/>
          <w:szCs w:val="16"/>
        </w:rPr>
        <w:t xml:space="preserve">SAY</w:t>
      </w:r>
    </w:p>
    <w:p>
      <w:pPr>
        <w:spacing w:after="120" w:before="0" w:line="276"/>
      </w:pPr>
      <w:r>
        <w:rPr>
          <w:rFonts w:ascii="Calibri" w:cs="Calibri" w:eastAsia="Calibri" w:hAnsi="Calibri"/>
          <w:i/>
          <w:iCs/>
          <w:color w:val="2A3439"/>
          <w:sz w:val="21"/>
          <w:szCs w:val="21"/>
        </w:rPr>
        <w:t xml:space="preserve">Keep the cast short. Most of what goes wrong is extra titles.</w:t>
      </w:r>
    </w:p>
    <w:p>
      <w:pPr>
        <w:pStyle w:val="ListParagraph"/>
        <w:numPr>
          <w:ilvl w:val="0"/>
          <w:numId w:val="2"/>
        </w:numPr>
        <w:spacing w:after="60" w:before="0" w:line="260"/>
      </w:pPr>
      <w:r>
        <w:rPr>
          <w:rFonts w:ascii="Calibri" w:cs="Calibri" w:eastAsia="Calibri" w:hAnsi="Calibri"/>
          <w:color w:val="2A3439"/>
          <w:sz w:val="21"/>
          <w:szCs w:val="21"/>
        </w:rPr>
        <w:t xml:space="preserve">Executive sponsor. Usually the CRO. Sometimes the CEO. Publicly owns the charter. Breaks ties.</w:t>
      </w:r>
    </w:p>
    <w:p>
      <w:pPr>
        <w:pStyle w:val="ListParagraph"/>
        <w:numPr>
          <w:ilvl w:val="0"/>
          <w:numId w:val="2"/>
        </w:numPr>
        <w:spacing w:after="60" w:before="0" w:line="260"/>
      </w:pPr>
      <w:r>
        <w:rPr>
          <w:rFonts w:ascii="Calibri" w:cs="Calibri" w:eastAsia="Calibri" w:hAnsi="Calibri"/>
          <w:color w:val="2A3439"/>
          <w:sz w:val="21"/>
          <w:szCs w:val="21"/>
        </w:rPr>
        <w:t xml:space="preserve">Head of RevOps — or the person wearing that hat. Cross-functional authority over definitions, handoff SLAs, and stack architecture. Does not carry quota.</w:t>
      </w:r>
    </w:p>
    <w:p>
      <w:pPr>
        <w:pStyle w:val="ListParagraph"/>
        <w:numPr>
          <w:ilvl w:val="0"/>
          <w:numId w:val="2"/>
        </w:numPr>
        <w:spacing w:after="60" w:before="0" w:line="260"/>
      </w:pPr>
      <w:r>
        <w:rPr>
          <w:rFonts w:ascii="Calibri" w:cs="Calibri" w:eastAsia="Calibri" w:hAnsi="Calibri"/>
          <w:color w:val="2A3439"/>
          <w:sz w:val="21"/>
          <w:szCs w:val="21"/>
        </w:rPr>
        <w:t xml:space="preserve">Specialists underneath, if they exist: CRM, analytics, enablement, CS ops. They do not each get a private metric dictionary.</w:t>
      </w:r>
    </w:p>
    <w:p>
      <w:pPr>
        <w:pStyle w:val="ListParagraph"/>
        <w:numPr>
          <w:ilvl w:val="0"/>
          <w:numId w:val="2"/>
        </w:numPr>
        <w:spacing w:after="60" w:before="0" w:line="260"/>
      </w:pPr>
      <w:r>
        <w:rPr>
          <w:rFonts w:ascii="Calibri" w:cs="Calibri" w:eastAsia="Calibri" w:hAnsi="Calibri"/>
          <w:color w:val="2A3439"/>
          <w:sz w:val="21"/>
          <w:szCs w:val="21"/>
        </w:rPr>
        <w:t xml:space="preserve">Finance co-signer on definitions. Not a RevOps employee. A required signature.</w:t>
      </w:r>
    </w:p>
    <w:p>
      <w:pPr>
        <w:spacing w:after="40" w:before="160" w:line="240"/>
      </w:pPr>
      <w:r>
        <w:rPr>
          <w:rFonts w:ascii="Calibri" w:cs="Calibri" w:eastAsia="Calibri" w:hAnsi="Calibri"/>
          <w:b/>
          <w:bCs/>
          <w:color w:val="4F46E5"/>
          <w:sz w:val="16"/>
          <w:szCs w:val="16"/>
        </w:rPr>
        <w:t xml:space="preserve">SAY</w:t>
      </w:r>
    </w:p>
    <w:p>
      <w:pPr>
        <w:spacing w:after="120" w:before="0" w:line="276"/>
      </w:pPr>
      <w:r>
        <w:rPr>
          <w:rFonts w:ascii="Calibri" w:cs="Calibri" w:eastAsia="Calibri" w:hAnsi="Calibri"/>
          <w:i/>
          <w:iCs/>
          <w:color w:val="2A3439"/>
          <w:sz w:val="21"/>
          <w:szCs w:val="21"/>
        </w:rPr>
        <w:t xml:space="preserve">What does not belong in RevOps: running campaigns, carrying quota, managing individual reps or CSMs, setting product roadmap, inventing price. If the referee starts doing those jobs, they stop being the referee.</w:t>
      </w:r>
    </w:p>
    <w:p>
      <w:pPr>
        <w:pBdr>
          <w:bottom w:val="single" w:color="4F46E5" w:sz="12" w:space="2"/>
        </w:pBdr>
        <w:spacing w:after="80" w:before="280" w:line="276"/>
      </w:pPr>
      <w:r>
        <w:rPr>
          <w:rFonts w:ascii="Calibri" w:cs="Calibri" w:eastAsia="Calibri" w:hAnsi="Calibri"/>
          <w:b/>
          <w:bCs/>
          <w:color w:val="2A3439"/>
          <w:sz w:val="28"/>
          <w:szCs w:val="28"/>
        </w:rPr>
        <w:t xml:space="preserve">5. Incentives and culture — 10 min</w:t>
      </w:r>
    </w:p>
    <w:p>
      <w:pPr>
        <w:spacing w:after="40" w:before="160" w:line="240"/>
      </w:pPr>
      <w:r>
        <w:rPr>
          <w:rFonts w:ascii="Calibri" w:cs="Calibri" w:eastAsia="Calibri" w:hAnsi="Calibri"/>
          <w:b/>
          <w:bCs/>
          <w:color w:val="4F46E5"/>
          <w:sz w:val="16"/>
          <w:szCs w:val="16"/>
        </w:rPr>
        <w:t xml:space="preserve">SAY</w:t>
      </w:r>
    </w:p>
    <w:p>
      <w:pPr>
        <w:spacing w:after="120" w:before="0" w:line="276"/>
      </w:pPr>
      <w:r>
        <w:rPr>
          <w:rFonts w:ascii="Calibri" w:cs="Calibri" w:eastAsia="Calibri" w:hAnsi="Calibri"/>
          <w:i/>
          <w:iCs/>
          <w:color w:val="2A3439"/>
          <w:sz w:val="21"/>
          <w:szCs w:val="21"/>
        </w:rPr>
        <w:t xml:space="preserve">A perfect reporting line with hostile incentives is still three companies. Look at what you pay people to maximize.</w:t>
      </w:r>
    </w:p>
    <w:p>
      <w:pPr>
        <w:pStyle w:val="ListParagraph"/>
        <w:numPr>
          <w:ilvl w:val="0"/>
          <w:numId w:val="2"/>
        </w:numPr>
        <w:spacing w:after="60" w:before="0" w:line="260"/>
      </w:pPr>
      <w:r>
        <w:rPr>
          <w:rFonts w:ascii="Calibri" w:cs="Calibri" w:eastAsia="Calibri" w:hAnsi="Calibri"/>
          <w:color w:val="2A3439"/>
          <w:sz w:val="21"/>
          <w:szCs w:val="21"/>
        </w:rPr>
        <w:t xml:space="preserve">Sales paid only on new logos will starve renewal and expansion data.</w:t>
      </w:r>
    </w:p>
    <w:p>
      <w:pPr>
        <w:pStyle w:val="ListParagraph"/>
        <w:numPr>
          <w:ilvl w:val="0"/>
          <w:numId w:val="2"/>
        </w:numPr>
        <w:spacing w:after="60" w:before="0" w:line="260"/>
      </w:pPr>
      <w:r>
        <w:rPr>
          <w:rFonts w:ascii="Calibri" w:cs="Calibri" w:eastAsia="Calibri" w:hAnsi="Calibri"/>
          <w:color w:val="2A3439"/>
          <w:sz w:val="21"/>
          <w:szCs w:val="21"/>
        </w:rPr>
        <w:t xml:space="preserve">Marketing paid on MQL volume will ship volume. That is rational.</w:t>
      </w:r>
    </w:p>
    <w:p>
      <w:pPr>
        <w:pStyle w:val="ListParagraph"/>
        <w:numPr>
          <w:ilvl w:val="0"/>
          <w:numId w:val="2"/>
        </w:numPr>
        <w:spacing w:after="60" w:before="0" w:line="260"/>
      </w:pPr>
      <w:r>
        <w:rPr>
          <w:rFonts w:ascii="Calibri" w:cs="Calibri" w:eastAsia="Calibri" w:hAnsi="Calibri"/>
          <w:color w:val="2A3439"/>
          <w:sz w:val="21"/>
          <w:szCs w:val="21"/>
        </w:rPr>
        <w:t xml:space="preserve">CS paid on ticket close-time will not protect NRR.</w:t>
      </w:r>
    </w:p>
    <w:p>
      <w:pPr>
        <w:pStyle w:val="ListParagraph"/>
        <w:numPr>
          <w:ilvl w:val="0"/>
          <w:numId w:val="2"/>
        </w:numPr>
        <w:spacing w:after="60" w:before="0" w:line="260"/>
      </w:pPr>
      <w:r>
        <w:rPr>
          <w:rFonts w:ascii="Calibri" w:cs="Calibri" w:eastAsia="Calibri" w:hAnsi="Calibri"/>
          <w:color w:val="2A3439"/>
          <w:sz w:val="21"/>
          <w:szCs w:val="21"/>
        </w:rPr>
        <w:t xml:space="preserve">RevOps paid on “projects shipped” will ship dashboards.</w:t>
      </w:r>
    </w:p>
    <w:p>
      <w:pPr>
        <w:spacing w:after="40" w:before="160" w:line="240"/>
      </w:pPr>
      <w:r>
        <w:rPr>
          <w:rFonts w:ascii="Calibri" w:cs="Calibri" w:eastAsia="Calibri" w:hAnsi="Calibri"/>
          <w:b/>
          <w:bCs/>
          <w:color w:val="4F46E5"/>
          <w:sz w:val="16"/>
          <w:szCs w:val="16"/>
        </w:rPr>
        <w:t xml:space="preserve">SAY</w:t>
      </w:r>
    </w:p>
    <w:p>
      <w:pPr>
        <w:spacing w:after="120" w:before="0" w:line="276"/>
      </w:pPr>
      <w:r>
        <w:rPr>
          <w:rFonts w:ascii="Calibri" w:cs="Calibri" w:eastAsia="Calibri" w:hAnsi="Calibri"/>
          <w:i/>
          <w:iCs/>
          <w:color w:val="2A3439"/>
          <w:sz w:val="21"/>
          <w:szCs w:val="21"/>
        </w:rPr>
        <w:t xml:space="preserve">You do not fix comp in this session. You name the conflicts so nobody is surprised when behavior follows the plan. The cultural minimum is smaller than a transformation: one scorecard in the exec meeting, one language for stages, and a post-mortem when a handoff fails — not a blame meeting.</w:t>
      </w:r>
    </w:p>
    <w:p>
      <w:pPr>
        <w:spacing w:after="40" w:before="160" w:line="240"/>
      </w:pPr>
      <w:r>
        <w:rPr>
          <w:rFonts w:ascii="Calibri" w:cs="Calibri" w:eastAsia="Calibri" w:hAnsi="Calibri"/>
          <w:b/>
          <w:bCs/>
          <w:color w:val="4F46E5"/>
          <w:sz w:val="16"/>
          <w:szCs w:val="16"/>
        </w:rPr>
        <w:t xml:space="preserve">WRITE</w:t>
      </w:r>
    </w:p>
    <w:p>
      <w:pPr>
        <w:spacing w:after="120" w:before="0" w:line="276"/>
      </w:pPr>
      <w:r>
        <w:rPr>
          <w:rFonts w:ascii="Calibri" w:cs="Calibri" w:eastAsia="Calibri" w:hAnsi="Calibri"/>
          <w:b/>
          <w:bCs/>
          <w:color w:val="2A3439"/>
          <w:sz w:val="21"/>
          <w:szCs w:val="21"/>
        </w:rPr>
        <w:t xml:space="preserve">Comp can wait. Shared scorecard cannot.</w:t>
      </w:r>
    </w:p>
    <w:p>
      <w:pPr>
        <w:pBdr>
          <w:bottom w:val="single" w:color="4F46E5" w:sz="12" w:space="2"/>
        </w:pBdr>
        <w:spacing w:after="80" w:before="280" w:line="276"/>
      </w:pPr>
      <w:r>
        <w:rPr>
          <w:rFonts w:ascii="Calibri" w:cs="Calibri" w:eastAsia="Calibri" w:hAnsi="Calibri"/>
          <w:b/>
          <w:bCs/>
          <w:color w:val="2A3439"/>
          <w:sz w:val="28"/>
          <w:szCs w:val="28"/>
        </w:rPr>
        <w:t xml:space="preserve">6. Workshop — 15–20 min</w:t>
      </w:r>
    </w:p>
    <w:p>
      <w:pPr>
        <w:spacing w:after="40" w:before="160" w:line="240"/>
      </w:pPr>
      <w:r>
        <w:rPr>
          <w:rFonts w:ascii="Calibri" w:cs="Calibri" w:eastAsia="Calibri" w:hAnsi="Calibri"/>
          <w:b/>
          <w:bCs/>
          <w:color w:val="4F46E5"/>
          <w:sz w:val="16"/>
          <w:szCs w:val="16"/>
        </w:rPr>
        <w:t xml:space="preserve">SAY</w:t>
      </w:r>
    </w:p>
    <w:p>
      <w:pPr>
        <w:spacing w:after="120" w:before="0" w:line="276"/>
      </w:pPr>
      <w:r>
        <w:rPr>
          <w:rFonts w:ascii="Calibri" w:cs="Calibri" w:eastAsia="Calibri" w:hAnsi="Calibri"/>
          <w:i/>
          <w:iCs/>
          <w:color w:val="2A3439"/>
          <w:sz w:val="21"/>
          <w:szCs w:val="21"/>
        </w:rPr>
        <w:t xml:space="preserve">Whiteboards. No slides. Four steps. We stop when the charter has a reporting line or a named blocker.</w:t>
      </w:r>
    </w:p>
    <w:p>
      <w:pPr>
        <w:spacing w:after="40" w:before="160" w:line="240"/>
      </w:pPr>
      <w:r>
        <w:rPr>
          <w:rFonts w:ascii="Calibri" w:cs="Calibri" w:eastAsia="Calibri" w:hAnsi="Calibri"/>
          <w:b/>
          <w:bCs/>
          <w:color w:val="4F46E5"/>
          <w:sz w:val="16"/>
          <w:szCs w:val="16"/>
        </w:rPr>
        <w:t xml:space="preserve">STEP A — DRAW CURRENT LINES</w:t>
      </w:r>
    </w:p>
    <w:p>
      <w:pPr>
        <w:spacing w:after="120" w:before="0" w:line="276"/>
      </w:pPr>
      <w:r>
        <w:rPr>
          <w:rFonts w:ascii="Calibri" w:cs="Calibri" w:eastAsia="Calibri" w:hAnsi="Calibri"/>
          <w:i/>
          <w:iCs/>
          <w:color w:val="2A3439"/>
          <w:sz w:val="21"/>
          <w:szCs w:val="21"/>
        </w:rPr>
        <w:t xml:space="preserve">Who does Sales Ops report to? Marketing Ops? CS Ops? Who owns the CRM admin? Who owns the board dashboard? Circle every place two teams can disagree with no referee.</w:t>
      </w:r>
    </w:p>
    <w:p>
      <w:pPr>
        <w:spacing w:after="40" w:before="160" w:line="240"/>
      </w:pPr>
      <w:r>
        <w:rPr>
          <w:rFonts w:ascii="Calibri" w:cs="Calibri" w:eastAsia="Calibri" w:hAnsi="Calibri"/>
          <w:b/>
          <w:bCs/>
          <w:color w:val="4F46E5"/>
          <w:sz w:val="16"/>
          <w:szCs w:val="16"/>
        </w:rPr>
        <w:t xml:space="preserve">STEP B — NAME THE REFEREE</w:t>
      </w:r>
    </w:p>
    <w:p>
      <w:pPr>
        <w:spacing w:after="120" w:before="0" w:line="276"/>
      </w:pPr>
      <w:r>
        <w:rPr>
          <w:rFonts w:ascii="Calibri" w:cs="Calibri" w:eastAsia="Calibri" w:hAnsi="Calibri"/>
          <w:i/>
          <w:iCs/>
          <w:color w:val="2A3439"/>
          <w:sz w:val="21"/>
          <w:szCs w:val="21"/>
        </w:rPr>
        <w:t xml:space="preserve">One human, living or to-be-designated. Not a committee. A committee is how definitions stay unfrozen.</w:t>
      </w:r>
    </w:p>
    <w:p>
      <w:pPr>
        <w:spacing w:after="40" w:before="160" w:line="240"/>
      </w:pPr>
      <w:r>
        <w:rPr>
          <w:rFonts w:ascii="Calibri" w:cs="Calibri" w:eastAsia="Calibri" w:hAnsi="Calibri"/>
          <w:b/>
          <w:bCs/>
          <w:color w:val="4F46E5"/>
          <w:sz w:val="16"/>
          <w:szCs w:val="16"/>
        </w:rPr>
        <w:t xml:space="preserve">STEP C — CHOOSE THE LINE</w:t>
      </w:r>
    </w:p>
    <w:p>
      <w:pPr>
        <w:spacing w:after="120" w:before="0" w:line="276"/>
      </w:pPr>
      <w:r>
        <w:rPr>
          <w:rFonts w:ascii="Calibri" w:cs="Calibri" w:eastAsia="Calibri" w:hAnsi="Calibri"/>
          <w:i/>
          <w:iCs/>
          <w:color w:val="2A3439"/>
          <w:sz w:val="21"/>
          <w:szCs w:val="21"/>
        </w:rPr>
        <w:t xml:space="preserve">CRO, CEO, or COO. Say it out loud. If the CRO will sponsor but Sales will own the person, that is model three and we should call it that.</w:t>
      </w:r>
    </w:p>
    <w:p>
      <w:pPr>
        <w:spacing w:after="40" w:before="160" w:line="240"/>
      </w:pPr>
      <w:r>
        <w:rPr>
          <w:rFonts w:ascii="Calibri" w:cs="Calibri" w:eastAsia="Calibri" w:hAnsi="Calibri"/>
          <w:b/>
          <w:bCs/>
          <w:color w:val="4F46E5"/>
          <w:sz w:val="16"/>
          <w:szCs w:val="16"/>
        </w:rPr>
        <w:t xml:space="preserve">STEP D — WRITE ON THE CHARTER</w:t>
      </w:r>
    </w:p>
    <w:p>
      <w:pPr>
        <w:pStyle w:val="ListParagraph"/>
        <w:numPr>
          <w:ilvl w:val="0"/>
          <w:numId w:val="2"/>
        </w:numPr>
        <w:spacing w:after="60" w:before="0" w:line="260"/>
      </w:pPr>
      <w:r>
        <w:rPr>
          <w:rFonts w:ascii="Calibri" w:cs="Calibri" w:eastAsia="Calibri" w:hAnsi="Calibri"/>
          <w:color w:val="2A3439"/>
          <w:sz w:val="21"/>
          <w:szCs w:val="21"/>
        </w:rPr>
        <w:t xml:space="preserve">Section 3: sponsor, reports to, authority sentence.</w:t>
      </w:r>
    </w:p>
    <w:p>
      <w:pPr>
        <w:pStyle w:val="ListParagraph"/>
        <w:numPr>
          <w:ilvl w:val="0"/>
          <w:numId w:val="2"/>
        </w:numPr>
        <w:spacing w:after="60" w:before="0" w:line="260"/>
      </w:pPr>
      <w:r>
        <w:rPr>
          <w:rFonts w:ascii="Calibri" w:cs="Calibri" w:eastAsia="Calibri" w:hAnsi="Calibri"/>
          <w:color w:val="2A3439"/>
          <w:sz w:val="21"/>
          <w:szCs w:val="21"/>
        </w:rPr>
        <w:t xml:space="preserve">Section 1: leave the purpose unless someone can shorten it.</w:t>
      </w:r>
    </w:p>
    <w:p>
      <w:pPr>
        <w:pStyle w:val="ListParagraph"/>
        <w:numPr>
          <w:ilvl w:val="0"/>
          <w:numId w:val="2"/>
        </w:numPr>
        <w:spacing w:after="60" w:before="0" w:line="260"/>
      </w:pPr>
      <w:r>
        <w:rPr>
          <w:rFonts w:ascii="Calibri" w:cs="Calibri" w:eastAsia="Calibri" w:hAnsi="Calibri"/>
          <w:color w:val="2A3439"/>
          <w:sz w:val="21"/>
          <w:szCs w:val="21"/>
        </w:rPr>
        <w:t xml:space="preserve">Section 8: who signs today vs. who signs this week.</w:t>
      </w:r>
    </w:p>
    <w:p>
      <w:pPr>
        <w:spacing w:after="40" w:before="160" w:line="240"/>
      </w:pPr>
      <w:r>
        <w:rPr>
          <w:rFonts w:ascii="Calibri" w:cs="Calibri" w:eastAsia="Calibri" w:hAnsi="Calibri"/>
          <w:b/>
          <w:bCs/>
          <w:color w:val="4F46E5"/>
          <w:sz w:val="16"/>
          <w:szCs w:val="16"/>
        </w:rPr>
        <w:t xml:space="preserve">SAY IF THE ROOM STALLS</w:t>
      </w:r>
    </w:p>
    <w:p>
      <w:pPr>
        <w:spacing w:after="120" w:before="0" w:line="276"/>
      </w:pPr>
      <w:r>
        <w:rPr>
          <w:rFonts w:ascii="Calibri" w:cs="Calibri" w:eastAsia="Calibri" w:hAnsi="Calibri"/>
          <w:i/>
          <w:iCs/>
          <w:color w:val="2A3439"/>
          <w:sz w:val="21"/>
          <w:szCs w:val="21"/>
        </w:rPr>
        <w:t xml:space="preserve">Then the output of this session is the blocker, written in one line. Example: ‘CRO will not give RevOps authority over Marketing definitions.’ That is a complete answer. We do not paper over it with a dotted line that nobody believes.</w:t>
      </w:r>
    </w:p>
    <w:p>
      <w:pPr>
        <w:pBdr>
          <w:bottom w:val="single" w:color="4F46E5" w:sz="12" w:space="2"/>
        </w:pBdr>
        <w:spacing w:after="80" w:before="280" w:line="276"/>
      </w:pPr>
      <w:r>
        <w:rPr>
          <w:rFonts w:ascii="Calibri" w:cs="Calibri" w:eastAsia="Calibri" w:hAnsi="Calibri"/>
          <w:b/>
          <w:bCs/>
          <w:color w:val="2A3439"/>
          <w:sz w:val="28"/>
          <w:szCs w:val="28"/>
        </w:rPr>
        <w:t xml:space="preserve">7. Close — 3 min</w:t>
      </w:r>
    </w:p>
    <w:p>
      <w:pPr>
        <w:spacing w:after="40" w:before="160" w:line="240"/>
      </w:pPr>
      <w:r>
        <w:rPr>
          <w:rFonts w:ascii="Calibri" w:cs="Calibri" w:eastAsia="Calibri" w:hAnsi="Calibri"/>
          <w:b/>
          <w:bCs/>
          <w:color w:val="4F46E5"/>
          <w:sz w:val="16"/>
          <w:szCs w:val="16"/>
        </w:rPr>
        <w:t xml:space="preserve">SAY</w:t>
      </w:r>
    </w:p>
    <w:p>
      <w:pPr>
        <w:spacing w:after="120" w:before="0" w:line="276"/>
      </w:pPr>
      <w:r>
        <w:rPr>
          <w:rFonts w:ascii="Calibri" w:cs="Calibri" w:eastAsia="Calibri" w:hAnsi="Calibri"/>
          <w:i/>
          <w:iCs/>
          <w:color w:val="2A3439"/>
          <w:sz w:val="21"/>
          <w:szCs w:val="21"/>
        </w:rPr>
        <w:t xml:space="preserve">People and alignment is not culture theater. It is whether a referee exists, and whether that referee can freeze a number without asking permission from the team that loses the argument. Next session is Process — one seam, written, owned, timed. We will not discuss the stack.</w:t>
      </w:r>
    </w:p>
    <w:p>
      <w:pPr>
        <w:spacing w:after="40" w:before="160" w:line="240"/>
      </w:pPr>
      <w:r>
        <w:rPr>
          <w:rFonts w:ascii="Calibri" w:cs="Calibri" w:eastAsia="Calibri" w:hAnsi="Calibri"/>
          <w:b/>
          <w:bCs/>
          <w:color w:val="4F46E5"/>
          <w:sz w:val="16"/>
          <w:szCs w:val="16"/>
        </w:rPr>
        <w:t xml:space="preserve">LEAVE BEHIND</w:t>
      </w:r>
    </w:p>
    <w:p>
      <w:pPr>
        <w:pStyle w:val="ListParagraph"/>
        <w:numPr>
          <w:ilvl w:val="0"/>
          <w:numId w:val="2"/>
        </w:numPr>
        <w:spacing w:after="60" w:before="0" w:line="260"/>
      </w:pPr>
      <w:r>
        <w:rPr>
          <w:rFonts w:ascii="Calibri" w:cs="Calibri" w:eastAsia="Calibri" w:hAnsi="Calibri"/>
          <w:color w:val="2A3439"/>
          <w:sz w:val="21"/>
          <w:szCs w:val="21"/>
        </w:rPr>
        <w:t xml:space="preserve">Charter with section 3 filled, or a one-line blocker</w:t>
      </w:r>
    </w:p>
    <w:p>
      <w:pPr>
        <w:pStyle w:val="ListParagraph"/>
        <w:numPr>
          <w:ilvl w:val="0"/>
          <w:numId w:val="2"/>
        </w:numPr>
        <w:spacing w:after="60" w:before="0" w:line="260"/>
      </w:pPr>
      <w:r>
        <w:rPr>
          <w:rFonts w:ascii="Calibri" w:cs="Calibri" w:eastAsia="Calibri" w:hAnsi="Calibri"/>
          <w:color w:val="2A3439"/>
          <w:sz w:val="21"/>
          <w:szCs w:val="21"/>
        </w:rPr>
        <w:t xml:space="preserve">Named referee — even if interim</w:t>
      </w:r>
    </w:p>
    <w:p>
      <w:pPr>
        <w:pStyle w:val="ListParagraph"/>
        <w:numPr>
          <w:ilvl w:val="0"/>
          <w:numId w:val="2"/>
        </w:numPr>
        <w:spacing w:after="60" w:before="0" w:line="260"/>
      </w:pPr>
      <w:r>
        <w:rPr>
          <w:rFonts w:ascii="Calibri" w:cs="Calibri" w:eastAsia="Calibri" w:hAnsi="Calibri"/>
          <w:color w:val="2A3439"/>
          <w:sz w:val="21"/>
          <w:szCs w:val="21"/>
        </w:rPr>
        <w:t xml:space="preserve">Date for Session 2</w:t>
      </w:r>
    </w:p>
    <w:p>
      <w:pPr>
        <w:pBdr>
          <w:bottom w:val="single" w:color="4F46E5" w:sz="12" w:space="2"/>
        </w:pBdr>
        <w:spacing w:after="80" w:before="280" w:line="276"/>
      </w:pPr>
      <w:r>
        <w:rPr>
          <w:rFonts w:ascii="Calibri" w:cs="Calibri" w:eastAsia="Calibri" w:hAnsi="Calibri"/>
          <w:b/>
          <w:bCs/>
          <w:color w:val="2A3439"/>
          <w:sz w:val="28"/>
          <w:szCs w:val="28"/>
        </w:rPr>
        <w:t xml:space="preserve">If the room derails</w:t>
      </w:r>
    </w:p>
    <w:tbl>
      <w:tblPr>
        <w:tblW w:type="dxa" w:w="10520"/>
        <w:tblBorders>
          <w:top w:val="single" w:color="auto" w:sz="4"/>
          <w:left w:val="single" w:color="auto" w:sz="4"/>
          <w:bottom w:val="single" w:color="auto" w:sz="4"/>
          <w:right w:val="single" w:color="auto" w:sz="4"/>
          <w:insideH w:val="single" w:color="auto" w:sz="4"/>
          <w:insideV w:val="single" w:color="auto" w:sz="4"/>
        </w:tblBorders>
      </w:tblPr>
      <w:tblGrid>
        <w:gridCol w:w="3600"/>
        <w:gridCol w:w="6920"/>
      </w:tblGrid>
      <w:tr>
        <w:tc>
          <w:tcPr>
            <w:tcW w:type="dxa" w:w="3600"/>
            <w:tcBorders>
              <w:top w:val="single" w:color="D4D8DA" w:sz="4"/>
              <w:left w:val="single" w:color="D4D8DA" w:sz="4"/>
              <w:bottom w:val="single" w:color="D4D8DA" w:sz="4"/>
              <w:right w:val="single" w:color="D4D8DA" w:sz="4"/>
            </w:tcBorders>
            <w:shd w:fill="2A3439" w:val="clear"/>
            <w:tcMar>
              <w:top w:type="dxa" w:w="50"/>
              <w:left w:type="dxa" w:w="80"/>
              <w:bottom w:type="dxa" w:w="50"/>
              <w:right w:type="dxa" w:w="80"/>
            </w:tcMar>
            <w:vAlign w:val="top"/>
          </w:tcPr>
          <w:p>
            <w:pPr>
              <w:spacing w:after="0" w:before="0" w:line="240"/>
            </w:pPr>
            <w:r>
              <w:rPr>
                <w:rFonts w:ascii="Calibri" w:cs="Calibri" w:eastAsia="Calibri" w:hAnsi="Calibri"/>
                <w:b/>
                <w:bCs/>
                <w:color w:val="FFFFFF"/>
                <w:sz w:val="17"/>
                <w:szCs w:val="17"/>
              </w:rPr>
              <w:t xml:space="preserve">They say</w:t>
            </w:r>
          </w:p>
        </w:tc>
        <w:tc>
          <w:tcPr>
            <w:tcW w:type="dxa" w:w="6920"/>
            <w:tcBorders>
              <w:top w:val="single" w:color="D4D8DA" w:sz="4"/>
              <w:left w:val="single" w:color="D4D8DA" w:sz="4"/>
              <w:bottom w:val="single" w:color="D4D8DA" w:sz="4"/>
              <w:right w:val="single" w:color="D4D8DA" w:sz="4"/>
            </w:tcBorders>
            <w:shd w:fill="2A3439" w:val="clear"/>
            <w:tcMar>
              <w:top w:type="dxa" w:w="50"/>
              <w:left w:type="dxa" w:w="80"/>
              <w:bottom w:type="dxa" w:w="50"/>
              <w:right w:type="dxa" w:w="80"/>
            </w:tcMar>
            <w:vAlign w:val="top"/>
          </w:tcPr>
          <w:p>
            <w:pPr>
              <w:spacing w:after="0" w:before="0" w:line="240"/>
            </w:pPr>
            <w:r>
              <w:rPr>
                <w:rFonts w:ascii="Calibri" w:cs="Calibri" w:eastAsia="Calibri" w:hAnsi="Calibri"/>
                <w:b/>
                <w:bCs/>
                <w:color w:val="FFFFFF"/>
                <w:sz w:val="17"/>
                <w:szCs w:val="17"/>
              </w:rPr>
              <w:t xml:space="preserve">You say</w:t>
            </w:r>
          </w:p>
        </w:tc>
      </w:tr>
      <w:tr>
        <w:tc>
          <w:tcPr>
            <w:tcW w:type="dxa" w:w="360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color w:val="2A3439"/>
                <w:sz w:val="18"/>
                <w:szCs w:val="18"/>
              </w:rPr>
              <w:t xml:space="preserve">Give it to our strongest Sales Ops lead.</w:t>
            </w:r>
          </w:p>
        </w:tc>
        <w:tc>
          <w:tcPr>
            <w:tcW w:type="dxa" w:w="692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color w:val="2A3439"/>
                <w:sz w:val="18"/>
                <w:szCs w:val="18"/>
              </w:rPr>
              <w:t xml:space="preserve">That person can do the work. The reporting line still cannot be Sales-only if Marketing and CS must obey the dictionary.</w:t>
            </w:r>
          </w:p>
        </w:tc>
      </w:tr>
      <w:tr>
        <w:tc>
          <w:tcPr>
            <w:tcW w:type="dxa" w:w="360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color w:val="2A3439"/>
                <w:sz w:val="18"/>
                <w:szCs w:val="18"/>
              </w:rPr>
              <w:t xml:space="preserve">Let’s use a dotted line to everyone.</w:t>
            </w:r>
          </w:p>
        </w:tc>
        <w:tc>
          <w:tcPr>
            <w:tcW w:type="dxa" w:w="692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color w:val="2A3439"/>
                <w:sz w:val="18"/>
                <w:szCs w:val="18"/>
              </w:rPr>
              <w:t xml:space="preserve">Dotted lines are how nobody is the referee. One solid line. Dotted to the others if you must.</w:t>
            </w:r>
          </w:p>
        </w:tc>
      </w:tr>
      <w:tr>
        <w:tc>
          <w:tcPr>
            <w:tcW w:type="dxa" w:w="360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color w:val="2A3439"/>
                <w:sz w:val="18"/>
                <w:szCs w:val="18"/>
              </w:rPr>
              <w:t xml:space="preserve">We need a VP title or they will be ignored.</w:t>
            </w:r>
          </w:p>
        </w:tc>
        <w:tc>
          <w:tcPr>
            <w:tcW w:type="dxa" w:w="692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color w:val="2A3439"/>
                <w:sz w:val="18"/>
                <w:szCs w:val="18"/>
              </w:rPr>
              <w:t xml:space="preserve">Title is secondary. Sponsor behavior in the first fight over a definition is what creates authority.</w:t>
            </w:r>
          </w:p>
        </w:tc>
      </w:tr>
      <w:tr>
        <w:tc>
          <w:tcPr>
            <w:tcW w:type="dxa" w:w="360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color w:val="2A3439"/>
                <w:sz w:val="18"/>
                <w:szCs w:val="18"/>
              </w:rPr>
              <w:t xml:space="preserve">Marketing will never accept a CRO-owned referee.</w:t>
            </w:r>
          </w:p>
        </w:tc>
        <w:tc>
          <w:tcPr>
            <w:tcW w:type="dxa" w:w="692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color w:val="2A3439"/>
                <w:sz w:val="18"/>
                <w:szCs w:val="18"/>
              </w:rPr>
              <w:t xml:space="preserve">Then report RevOps to the CEO, or accept three dictionaries. Those are the real options.</w:t>
            </w:r>
          </w:p>
        </w:tc>
      </w:tr>
      <w:tr>
        <w:tc>
          <w:tcPr>
            <w:tcW w:type="dxa" w:w="360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color w:val="2A3439"/>
                <w:sz w:val="18"/>
                <w:szCs w:val="18"/>
              </w:rPr>
              <w:t xml:space="preserve">Finance should own it. They already own the truth.</w:t>
            </w:r>
          </w:p>
        </w:tc>
        <w:tc>
          <w:tcPr>
            <w:tcW w:type="dxa" w:w="692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color w:val="2A3439"/>
                <w:sz w:val="18"/>
                <w:szCs w:val="18"/>
              </w:rPr>
              <w:t xml:space="preserve">Finance co-signs revenue recognition and the dictionary. They should not run lead routing or CS handoffs. Different sport.</w:t>
            </w:r>
          </w:p>
        </w:tc>
      </w:tr>
    </w:tbl>
    <w:p>
      <w:pPr>
        <w:pBdr>
          <w:bottom w:val="single" w:color="4F46E5" w:sz="12" w:space="2"/>
        </w:pBdr>
        <w:spacing w:after="80" w:before="280" w:line="276"/>
      </w:pPr>
      <w:r>
        <w:rPr>
          <w:rFonts w:ascii="Calibri" w:cs="Calibri" w:eastAsia="Calibri" w:hAnsi="Calibri"/>
          <w:b/>
          <w:bCs/>
          <w:color w:val="2A3439"/>
          <w:sz w:val="28"/>
          <w:szCs w:val="28"/>
        </w:rPr>
        <w:t xml:space="preserve">What you will not do in Session 1</w:t>
      </w:r>
    </w:p>
    <w:p>
      <w:pPr>
        <w:pStyle w:val="ListParagraph"/>
        <w:numPr>
          <w:ilvl w:val="0"/>
          <w:numId w:val="2"/>
        </w:numPr>
        <w:spacing w:after="60" w:before="0" w:line="260"/>
      </w:pPr>
      <w:r>
        <w:rPr>
          <w:rFonts w:ascii="Calibri" w:cs="Calibri" w:eastAsia="Calibri" w:hAnsi="Calibri"/>
          <w:color w:val="2A3439"/>
          <w:sz w:val="21"/>
          <w:szCs w:val="21"/>
        </w:rPr>
        <w:t xml:space="preserve">Announce a new department of eight.</w:t>
      </w:r>
    </w:p>
    <w:p>
      <w:pPr>
        <w:pStyle w:val="ListParagraph"/>
        <w:numPr>
          <w:ilvl w:val="0"/>
          <w:numId w:val="2"/>
        </w:numPr>
        <w:spacing w:after="60" w:before="0" w:line="260"/>
      </w:pPr>
      <w:r>
        <w:rPr>
          <w:rFonts w:ascii="Calibri" w:cs="Calibri" w:eastAsia="Calibri" w:hAnsi="Calibri"/>
          <w:color w:val="2A3439"/>
          <w:sz w:val="21"/>
          <w:szCs w:val="21"/>
        </w:rPr>
        <w:t xml:space="preserve">Rewrite compensation plans live.</w:t>
      </w:r>
    </w:p>
    <w:p>
      <w:pPr>
        <w:pStyle w:val="ListParagraph"/>
        <w:numPr>
          <w:ilvl w:val="0"/>
          <w:numId w:val="2"/>
        </w:numPr>
        <w:spacing w:after="60" w:before="0" w:line="260"/>
      </w:pPr>
      <w:r>
        <w:rPr>
          <w:rFonts w:ascii="Calibri" w:cs="Calibri" w:eastAsia="Calibri" w:hAnsi="Calibri"/>
          <w:color w:val="2A3439"/>
          <w:sz w:val="21"/>
          <w:szCs w:val="21"/>
        </w:rPr>
        <w:t xml:space="preserve">Let the conversation become ‘who is a good operator we could hire.’</w:t>
      </w:r>
    </w:p>
    <w:p>
      <w:pPr>
        <w:pStyle w:val="ListParagraph"/>
        <w:numPr>
          <w:ilvl w:val="0"/>
          <w:numId w:val="2"/>
        </w:numPr>
        <w:spacing w:after="60" w:before="0" w:line="260"/>
      </w:pPr>
      <w:r>
        <w:rPr>
          <w:rFonts w:ascii="Calibri" w:cs="Calibri" w:eastAsia="Calibri" w:hAnsi="Calibri"/>
          <w:color w:val="2A3439"/>
          <w:sz w:val="21"/>
          <w:szCs w:val="21"/>
        </w:rPr>
        <w:t xml:space="preserve">Leave with ‘we’ll stay matrixed and see.’</w:t>
      </w:r>
    </w:p>
    <w:p>
      <w:pPr>
        <w:pBdr>
          <w:bottom w:val="single" w:color="4F46E5" w:sz="12" w:space="2"/>
        </w:pBdr>
        <w:spacing w:after="80" w:before="280" w:line="276"/>
      </w:pPr>
      <w:r>
        <w:rPr>
          <w:rFonts w:ascii="Calibri" w:cs="Calibri" w:eastAsia="Calibri" w:hAnsi="Calibri"/>
          <w:b/>
          <w:bCs/>
          <w:color w:val="2A3439"/>
          <w:sz w:val="28"/>
          <w:szCs w:val="28"/>
        </w:rPr>
        <w:t xml:space="preserve">Success test</w:t>
      </w:r>
    </w:p>
    <w:p>
      <w:pPr>
        <w:spacing w:after="120" w:before="0" w:line="276"/>
      </w:pPr>
      <w:r>
        <w:rPr>
          <w:rFonts w:ascii="Calibri" w:cs="Calibri" w:eastAsia="Calibri" w:hAnsi="Calibri"/>
          <w:color w:val="2A3439"/>
          <w:sz w:val="21"/>
          <w:szCs w:val="21"/>
        </w:rPr>
        <w:t xml:space="preserve">The session worked if the charter has a reporting line, or the room has written the political reason it does not. Anyone in the hallway can answer: who is the referee, and who do they report to?</w:t>
      </w:r>
    </w:p>
    <w:sectPr>
      <w:headerReference w:type="default" r:id="rId7"/>
      <w:footerReference w:type="default" r:id="rId8"/>
      <w:pgSz w:w="12240" w:h="15840" w:orient="portrait"/>
      <w:pgMar w:top="860" w:right="860" w:bottom="800" w:left="8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Calibri" w:cs="Calibri" w:eastAsia="Calibri" w:hAnsi="Calibri"/>
        <w:color w:val="5C676C"/>
        <w:sz w:val="15"/>
        <w:szCs w:val="15"/>
      </w:rPr>
      <w:t xml:space="preserve">RevOps  ·  People and alignment  ·  60–90 minutes  ·  </w:t>
    </w:r>
    <w:r>
      <w:rPr>
        <w:rFonts w:ascii="Calibri" w:cs="Calibri" w:eastAsia="Calibri" w:hAnsi="Calibri"/>
        <w:color w:val="5C676C"/>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80"/>
    </w:pPr>
    <w:r>
      <w:rPr>
        <w:rFonts w:ascii="Calibri" w:cs="Calibri" w:eastAsia="Calibri" w:hAnsi="Calibri"/>
        <w:b/>
        <w:bCs/>
        <w:color w:val="2A3439"/>
        <w:sz w:val="15"/>
        <w:szCs w:val="15"/>
      </w:rPr>
      <w:t xml:space="preserve">SESSION 1  ·  SPEAKING SCRIPT</w:t>
    </w:r>
    <w:r>
      <w:rPr>
        <w:rFonts w:ascii="Calibri" w:cs="Calibri" w:eastAsia="Calibri" w:hAnsi="Calibri"/>
        <w:color w:val="5C676C"/>
        <w:sz w:val="15"/>
        <w:szCs w:val="15"/>
      </w:rPr>
      <w:t xml:space="preserve">     Educational resource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00"/>
      </w:pPr>
    </w:lvl>
  </w:abstractNum>
  <w:abstractNum w:abstractNumId="3" w15:restartNumberingAfterBreak="0">
    <w:multiLevelType w:val="hybridMultilevel"/>
    <w:lvl w:ilvl="0" w15:tentative="1">
      <w:start w:val="1"/>
      <w:numFmt w:val="bullet"/>
      <w:lvlText w:val="•"/>
      <w:lvlJc w:val="left"/>
      <w:pPr>
        <w:ind w:left="360" w:hanging="200"/>
      </w:pPr>
    </w:lvl>
  </w:abstractNum>
  <w:abstractNum w:abstractNumId="4" w15:restartNumberingAfterBreak="0">
    <w:multiLevelType w:val="hybridMultilevel"/>
    <w:lvl w:ilvl="0" w15:tentative="1">
      <w:start w:val="1"/>
      <w:numFmt w:val="bullet"/>
      <w:lvlText w:val="•"/>
      <w:lvlJc w:val="left"/>
      <w:pPr>
        <w:ind w:left="360" w:hanging="20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2026-09-17T14:26:39.903Z</dcterms:created>
  <dcterms:modified xsi:type="dcterms:W3CDTF">2026-09-17T14:26:39.903Z</dcterms:modified>
</cp:coreProperties>
</file>

<file path=docProps/custom.xml><?xml version="1.0" encoding="utf-8"?>
<Properties xmlns="http://schemas.openxmlformats.org/officeDocument/2006/custom-properties" xmlns:vt="http://schemas.openxmlformats.org/officeDocument/2006/docPropsVTypes"/>
</file>