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alibri" w:cs="Calibri" w:eastAsia="Calibri" w:hAnsi="Calibri"/>
          <w:b/>
          <w:bCs/>
          <w:color w:val="4F46E5"/>
          <w:sz w:val="20"/>
          <w:szCs w:val="20"/>
        </w:rPr>
        <w:t xml:space="preserve">SESSION 2</w:t>
      </w:r>
    </w:p>
    <w:p>
      <w:pPr>
        <w:spacing w:after="40" w:before="0" w:line="276"/>
      </w:pPr>
      <w:r>
        <w:rPr>
          <w:rFonts w:ascii="Calibri" w:cs="Calibri" w:eastAsia="Calibri" w:hAnsi="Calibri"/>
          <w:b/>
          <w:bCs/>
          <w:color w:val="2A3439"/>
          <w:sz w:val="36"/>
          <w:szCs w:val="36"/>
        </w:rPr>
        <w:t xml:space="preserve">Process — the revenue blueprint</w:t>
      </w:r>
    </w:p>
    <w:p>
      <w:pPr>
        <w:spacing w:after="200" w:before="0" w:line="276"/>
      </w:pPr>
      <w:r>
        <w:rPr>
          <w:rFonts w:ascii="Calibri" w:cs="Calibri" w:eastAsia="Calibri" w:hAnsi="Calibri"/>
          <w:i/>
          <w:iCs/>
          <w:color w:val="5C676C"/>
          <w:sz w:val="22"/>
          <w:szCs w:val="22"/>
        </w:rPr>
        <w:t xml:space="preserve">One seam, written, owned, and timed. Not a methodology religion. Not a tool workflow.</w:t>
      </w:r>
    </w:p>
    <w:p>
      <w:pPr>
        <w:pBdr>
          <w:bottom w:val="single" w:color="4F46E5" w:sz="12" w:space="2"/>
        </w:pBdr>
        <w:spacing w:after="80" w:before="280" w:line="276"/>
      </w:pPr>
      <w:r>
        <w:rPr>
          <w:rFonts w:ascii="Calibri" w:cs="Calibri" w:eastAsia="Calibri" w:hAnsi="Calibri"/>
          <w:b/>
          <w:bCs/>
          <w:color w:val="2A3439"/>
          <w:sz w:val="28"/>
          <w:szCs w:val="28"/>
        </w:rPr>
        <w:t xml:space="preserve">How to use this script</w:t>
      </w:r>
    </w:p>
    <w:p>
      <w:pPr>
        <w:pStyle w:val="ListParagraph"/>
        <w:numPr>
          <w:ilvl w:val="0"/>
          <w:numId w:val="2"/>
        </w:numPr>
        <w:spacing w:after="60" w:before="0" w:line="260"/>
      </w:pPr>
      <w:r>
        <w:rPr>
          <w:rFonts w:ascii="Calibri" w:cs="Calibri" w:eastAsia="Calibri" w:hAnsi="Calibri"/>
          <w:color w:val="2A3439"/>
          <w:sz w:val="21"/>
          <w:szCs w:val="21"/>
        </w:rPr>
        <w:t xml:space="preserve">Session 1 should have named a referee and a reporting line — or named the blocker. If there is no referee, process design will become another argument with no owner.</w:t>
      </w:r>
    </w:p>
    <w:p>
      <w:pPr>
        <w:pStyle w:val="ListParagraph"/>
        <w:numPr>
          <w:ilvl w:val="0"/>
          <w:numId w:val="2"/>
        </w:numPr>
        <w:spacing w:after="60" w:before="0" w:line="260"/>
      </w:pPr>
      <w:r>
        <w:rPr>
          <w:rFonts w:ascii="Calibri" w:cs="Calibri" w:eastAsia="Calibri" w:hAnsi="Calibri"/>
          <w:color w:val="2A3439"/>
          <w:sz w:val="21"/>
          <w:szCs w:val="21"/>
        </w:rPr>
        <w:t xml:space="preserve">Bring one real closed-won deal and one real churn or failed handoff, stripped of gossip. Names can be disguised. The path cannot.</w:t>
      </w:r>
    </w:p>
    <w:p>
      <w:pPr>
        <w:pStyle w:val="ListParagraph"/>
        <w:numPr>
          <w:ilvl w:val="0"/>
          <w:numId w:val="2"/>
        </w:numPr>
        <w:spacing w:after="60" w:before="0" w:line="260"/>
      </w:pPr>
      <w:r>
        <w:rPr>
          <w:rFonts w:ascii="Calibri" w:cs="Calibri" w:eastAsia="Calibri" w:hAnsi="Calibri"/>
          <w:color w:val="2A3439"/>
          <w:sz w:val="21"/>
          <w:szCs w:val="21"/>
        </w:rPr>
        <w:t xml:space="preserve">Output is one process map and one SLA that three leaders can sign — plus a 30-day pilot. Not a 40-page playbook.</w:t>
      </w:r>
    </w:p>
    <w:p>
      <w:pPr>
        <w:pStyle w:val="ListParagraph"/>
        <w:numPr>
          <w:ilvl w:val="0"/>
          <w:numId w:val="2"/>
        </w:numPr>
        <w:spacing w:after="60" w:before="0" w:line="260"/>
      </w:pPr>
      <w:r>
        <w:rPr>
          <w:rFonts w:ascii="Calibri" w:cs="Calibri" w:eastAsia="Calibri" w:hAnsi="Calibri"/>
          <w:color w:val="2A3439"/>
          <w:sz w:val="21"/>
          <w:szCs w:val="21"/>
        </w:rPr>
        <w:t xml:space="preserve">No new tool is proposed in this room.</w:t>
      </w:r>
    </w:p>
    <w:p>
      <w:pPr>
        <w:spacing w:after="80" w:before="0" w:line="276"/>
      </w:pPr>
      <w:r>
        <w:rPr>
          <w:rFonts w:ascii="Calibri" w:cs="Calibri" w:eastAsia="Calibri" w:hAnsi="Calibri"/>
          <w:color w:val="2A3439"/>
          <w:sz w:val="21"/>
          <w:szCs w:val="21"/>
        </w:rPr>
        <w:t xml:space="preserve">In the room: sponsor, CRO, CMO, CS, referee / RevOps hat, CFO if the seam touches bookings or renewal revenue.</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800"/>
        <w:gridCol w:w="7720"/>
      </w:tblGrid>
      <w:tr>
        <w:tc>
          <w:tcPr>
            <w:tcW w:type="dxa" w:w="28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Block</w:t>
            </w:r>
          </w:p>
        </w:tc>
        <w:tc>
          <w:tcPr>
            <w:tcW w:type="dxa" w:w="77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Time</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Recap and contract</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Why process beats tools</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6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What RevOps process is</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10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Walk one deal and one leak</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15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What good looks like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8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Workshop: one seam, one SLA</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20–25 min</w:t>
            </w:r>
          </w:p>
        </w:tc>
      </w:tr>
      <w:tr>
        <w:tc>
          <w:tcPr>
            <w:tcW w:type="dxa" w:w="28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Close</w:t>
            </w:r>
          </w:p>
        </w:tc>
        <w:tc>
          <w:tcPr>
            <w:tcW w:type="dxa" w:w="77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3 min</w:t>
            </w:r>
          </w:p>
        </w:tc>
      </w:tr>
    </w:tbl>
    <w:p>
      <w:pPr>
        <w:pBdr>
          <w:bottom w:val="single" w:color="4F46E5" w:sz="12" w:space="2"/>
        </w:pBdr>
        <w:spacing w:after="80" w:before="280" w:line="276"/>
      </w:pPr>
      <w:r>
        <w:rPr>
          <w:rFonts w:ascii="Calibri" w:cs="Calibri" w:eastAsia="Calibri" w:hAnsi="Calibri"/>
          <w:b/>
          <w:bCs/>
          <w:color w:val="2A3439"/>
          <w:sz w:val="28"/>
          <w:szCs w:val="28"/>
        </w:rPr>
        <w:t xml:space="preserve">0. Recap and contract — 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We have a referee, or we know we do not. Today we design one piece of the path. Not the sales methodology. Not the campaign calendar. The connective tissue between teams. I will ask you to pick the leakiest seam, write entry criteria, name an owner, put a clock on it, and run that as a 30-day pilot. We will not buy software to hold a process we have not written.</w:t>
      </w:r>
    </w:p>
    <w:p>
      <w:pPr>
        <w:spacing w:after="40" w:before="160" w:line="240"/>
      </w:pPr>
      <w:r>
        <w:rPr>
          <w:rFonts w:ascii="Calibri" w:cs="Calibri" w:eastAsia="Calibri" w:hAnsi="Calibri"/>
          <w:b/>
          <w:bCs/>
          <w:color w:val="4F46E5"/>
          <w:sz w:val="16"/>
          <w:szCs w:val="16"/>
        </w:rPr>
        <w:t xml:space="preserve">WRITE AND LEAVE UP</w:t>
      </w:r>
    </w:p>
    <w:p>
      <w:pPr>
        <w:pStyle w:val="ListParagraph"/>
        <w:numPr>
          <w:ilvl w:val="0"/>
          <w:numId w:val="3"/>
        </w:numPr>
        <w:spacing w:after="60" w:before="0" w:line="260"/>
      </w:pPr>
      <w:r>
        <w:rPr>
          <w:rFonts w:ascii="Calibri" w:cs="Calibri" w:eastAsia="Calibri" w:hAnsi="Calibri"/>
          <w:color w:val="2A3439"/>
          <w:sz w:val="21"/>
          <w:szCs w:val="21"/>
        </w:rPr>
        <w:t xml:space="preserve">One seam. One owner. One SLA. Thirty days.</w:t>
      </w:r>
    </w:p>
    <w:p>
      <w:pPr>
        <w:pStyle w:val="ListParagraph"/>
        <w:numPr>
          <w:ilvl w:val="0"/>
          <w:numId w:val="3"/>
        </w:numPr>
        <w:spacing w:after="60" w:before="0" w:line="260"/>
      </w:pPr>
      <w:r>
        <w:rPr>
          <w:rFonts w:ascii="Calibri" w:cs="Calibri" w:eastAsia="Calibri" w:hAnsi="Calibri"/>
          <w:color w:val="2A3439"/>
          <w:sz w:val="21"/>
          <w:szCs w:val="21"/>
        </w:rPr>
        <w:t xml:space="preserve">No new tool in this room.</w:t>
      </w:r>
    </w:p>
    <w:p>
      <w:pPr>
        <w:pBdr>
          <w:bottom w:val="single" w:color="4F46E5" w:sz="12" w:space="2"/>
        </w:pBdr>
        <w:spacing w:after="80" w:before="280" w:line="276"/>
      </w:pPr>
      <w:r>
        <w:rPr>
          <w:rFonts w:ascii="Calibri" w:cs="Calibri" w:eastAsia="Calibri" w:hAnsi="Calibri"/>
          <w:b/>
          <w:bCs/>
          <w:color w:val="2A3439"/>
          <w:sz w:val="28"/>
          <w:szCs w:val="28"/>
        </w:rPr>
        <w:t xml:space="preserve">1. Why process is the highest-leverage pillar — 6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Technology without process is faster chaos. Data without process is a prettier argument. Process without a referee is a document nobody obeys. That is why this session sits after People and before Data.</w:t>
      </w:r>
    </w:p>
    <w:p>
      <w:pPr>
        <w:spacing w:after="120" w:before="0" w:line="276"/>
      </w:pPr>
      <w:r>
        <w:rPr>
          <w:rFonts w:ascii="Calibri" w:cs="Calibri" w:eastAsia="Calibri" w:hAnsi="Calibri"/>
          <w:i/>
          <w:iCs/>
          <w:color w:val="2A3439"/>
          <w:sz w:val="21"/>
          <w:szCs w:val="21"/>
        </w:rPr>
        <w:t xml:space="preserve">Heroics feel like a process when the company is small. They are not. When your best rep is on leave, or your marketing manager is out, the path should still be runnable by a competent stranger. If it is not, you do not have a process. You have a memory.</w:t>
      </w:r>
    </w:p>
    <w:p>
      <w:pPr>
        <w:pBdr>
          <w:bottom w:val="single" w:color="4F46E5" w:sz="12" w:space="2"/>
        </w:pBdr>
        <w:spacing w:after="80" w:before="280" w:line="276"/>
      </w:pPr>
      <w:r>
        <w:rPr>
          <w:rFonts w:ascii="Calibri" w:cs="Calibri" w:eastAsia="Calibri" w:hAnsi="Calibri"/>
          <w:b/>
          <w:bCs/>
          <w:color w:val="2A3439"/>
          <w:sz w:val="28"/>
          <w:szCs w:val="28"/>
        </w:rPr>
        <w:t xml:space="preserve">2. What RevOps process actually is — 10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RevOps process is not MEDDIC, Challenger, or inbound theory. Those can live inside a stage. RevOps designs the path those methods travel on.</w:t>
      </w:r>
    </w:p>
    <w:p>
      <w:pPr>
        <w:spacing w:after="40" w:before="160" w:line="240"/>
      </w:pPr>
      <w:r>
        <w:rPr>
          <w:rFonts w:ascii="Calibri" w:cs="Calibri" w:eastAsia="Calibri" w:hAnsi="Calibri"/>
          <w:b/>
          <w:bCs/>
          <w:color w:val="4F46E5"/>
          <w:sz w:val="16"/>
          <w:szCs w:val="16"/>
        </w:rPr>
        <w:t xml:space="preserve">WRITE THE LIST — do not teach each item</w:t>
      </w:r>
    </w:p>
    <w:p>
      <w:pPr>
        <w:pStyle w:val="ListParagraph"/>
        <w:numPr>
          <w:ilvl w:val="0"/>
          <w:numId w:val="2"/>
        </w:numPr>
        <w:spacing w:after="60" w:before="0" w:line="260"/>
      </w:pPr>
      <w:r>
        <w:rPr>
          <w:rFonts w:ascii="Calibri" w:cs="Calibri" w:eastAsia="Calibri" w:hAnsi="Calibri"/>
          <w:color w:val="2A3439"/>
          <w:sz w:val="21"/>
          <w:szCs w:val="21"/>
        </w:rPr>
        <w:t xml:space="preserve">ICP and segment definitions — who we will spend motion on</w:t>
      </w:r>
    </w:p>
    <w:p>
      <w:pPr>
        <w:pStyle w:val="ListParagraph"/>
        <w:numPr>
          <w:ilvl w:val="0"/>
          <w:numId w:val="2"/>
        </w:numPr>
        <w:spacing w:after="60" w:before="0" w:line="260"/>
      </w:pPr>
      <w:r>
        <w:rPr>
          <w:rFonts w:ascii="Calibri" w:cs="Calibri" w:eastAsia="Calibri" w:hAnsi="Calibri"/>
          <w:color w:val="2A3439"/>
          <w:sz w:val="21"/>
          <w:szCs w:val="21"/>
        </w:rPr>
        <w:t xml:space="preserve">Lead to MQL to SQL to opportunity — entry and exit criteria</w:t>
      </w:r>
    </w:p>
    <w:p>
      <w:pPr>
        <w:pStyle w:val="ListParagraph"/>
        <w:numPr>
          <w:ilvl w:val="0"/>
          <w:numId w:val="2"/>
        </w:numPr>
        <w:spacing w:after="60" w:before="0" w:line="260"/>
      </w:pPr>
      <w:r>
        <w:rPr>
          <w:rFonts w:ascii="Calibri" w:cs="Calibri" w:eastAsia="Calibri" w:hAnsi="Calibri"/>
          <w:color w:val="2A3439"/>
          <w:sz w:val="21"/>
          <w:szCs w:val="21"/>
        </w:rPr>
        <w:t xml:space="preserve">Routing and speed-to-lead</w:t>
      </w:r>
    </w:p>
    <w:p>
      <w:pPr>
        <w:pStyle w:val="ListParagraph"/>
        <w:numPr>
          <w:ilvl w:val="0"/>
          <w:numId w:val="2"/>
        </w:numPr>
        <w:spacing w:after="60" w:before="0" w:line="260"/>
      </w:pPr>
      <w:r>
        <w:rPr>
          <w:rFonts w:ascii="Calibri" w:cs="Calibri" w:eastAsia="Calibri" w:hAnsi="Calibri"/>
          <w:color w:val="2A3439"/>
          <w:sz w:val="21"/>
          <w:szCs w:val="21"/>
        </w:rPr>
        <w:t xml:space="preserve">Quote, legal, finance approval path</w:t>
      </w:r>
    </w:p>
    <w:p>
      <w:pPr>
        <w:pStyle w:val="ListParagraph"/>
        <w:numPr>
          <w:ilvl w:val="0"/>
          <w:numId w:val="2"/>
        </w:numPr>
        <w:spacing w:after="60" w:before="0" w:line="260"/>
      </w:pPr>
      <w:r>
        <w:rPr>
          <w:rFonts w:ascii="Calibri" w:cs="Calibri" w:eastAsia="Calibri" w:hAnsi="Calibri"/>
          <w:color w:val="2A3439"/>
          <w:sz w:val="21"/>
          <w:szCs w:val="21"/>
        </w:rPr>
        <w:t xml:space="preserve">Closed-won to onboarding handoff</w:t>
      </w:r>
    </w:p>
    <w:p>
      <w:pPr>
        <w:pStyle w:val="ListParagraph"/>
        <w:numPr>
          <w:ilvl w:val="0"/>
          <w:numId w:val="2"/>
        </w:numPr>
        <w:spacing w:after="60" w:before="0" w:line="260"/>
      </w:pPr>
      <w:r>
        <w:rPr>
          <w:rFonts w:ascii="Calibri" w:cs="Calibri" w:eastAsia="Calibri" w:hAnsi="Calibri"/>
          <w:color w:val="2A3439"/>
          <w:sz w:val="21"/>
          <w:szCs w:val="21"/>
        </w:rPr>
        <w:t xml:space="preserve">Health, renewal cadence, expansion playbooks</w:t>
      </w:r>
    </w:p>
    <w:p>
      <w:pPr>
        <w:pStyle w:val="ListParagraph"/>
        <w:numPr>
          <w:ilvl w:val="0"/>
          <w:numId w:val="2"/>
        </w:numPr>
        <w:spacing w:after="60" w:before="0" w:line="260"/>
      </w:pPr>
      <w:r>
        <w:rPr>
          <w:rFonts w:ascii="Calibri" w:cs="Calibri" w:eastAsia="Calibri" w:hAnsi="Calibri"/>
          <w:color w:val="2A3439"/>
          <w:sz w:val="21"/>
          <w:szCs w:val="21"/>
        </w:rPr>
        <w:t xml:space="preserve">Rules of engagement across teams and regions</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That list is the map of later work. Today we pick one line on it. Companies that try to redesign the whole lifecycle in one workshop produce a mural and no change.</w:t>
      </w:r>
    </w:p>
    <w:p>
      <w:pPr>
        <w:pBdr>
          <w:bottom w:val="single" w:color="4F46E5" w:sz="12" w:space="2"/>
        </w:pBdr>
        <w:spacing w:after="80" w:before="280" w:line="276"/>
      </w:pPr>
      <w:r>
        <w:rPr>
          <w:rFonts w:ascii="Calibri" w:cs="Calibri" w:eastAsia="Calibri" w:hAnsi="Calibri"/>
          <w:b/>
          <w:bCs/>
          <w:color w:val="2A3439"/>
          <w:sz w:val="28"/>
          <w:szCs w:val="28"/>
        </w:rPr>
        <w:t xml:space="preserve">3. Walk one deal and one leak — 15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I need two stories from this company, not from a book. One deal that closed. One customer or lead that leaked at a handoff. We will walk them on the board as a path: who touched it, what data was lost, where the customer repeated themselves, where time died.</w:t>
      </w:r>
    </w:p>
    <w:p>
      <w:pPr>
        <w:spacing w:after="40" w:before="160" w:line="240"/>
      </w:pPr>
      <w:r>
        <w:rPr>
          <w:rFonts w:ascii="Calibri" w:cs="Calibri" w:eastAsia="Calibri" w:hAnsi="Calibri"/>
          <w:b/>
          <w:bCs/>
          <w:color w:val="4F46E5"/>
          <w:sz w:val="16"/>
          <w:szCs w:val="16"/>
        </w:rPr>
        <w:t xml:space="preserve">FACILITATION</w:t>
      </w:r>
    </w:p>
    <w:p>
      <w:pPr>
        <w:pStyle w:val="ListParagraph"/>
        <w:numPr>
          <w:ilvl w:val="0"/>
          <w:numId w:val="2"/>
        </w:numPr>
        <w:spacing w:after="60" w:before="0" w:line="260"/>
      </w:pPr>
      <w:r>
        <w:rPr>
          <w:rFonts w:ascii="Calibri" w:cs="Calibri" w:eastAsia="Calibri" w:hAnsi="Calibri"/>
          <w:color w:val="2A3439"/>
          <w:sz w:val="21"/>
          <w:szCs w:val="21"/>
        </w:rPr>
        <w:t xml:space="preserve">Start at first meaningful touch. End at renewal, expansion, or the moment it died.</w:t>
      </w:r>
    </w:p>
    <w:p>
      <w:pPr>
        <w:pStyle w:val="ListParagraph"/>
        <w:numPr>
          <w:ilvl w:val="0"/>
          <w:numId w:val="2"/>
        </w:numPr>
        <w:spacing w:after="60" w:before="0" w:line="260"/>
      </w:pPr>
      <w:r>
        <w:rPr>
          <w:rFonts w:ascii="Calibri" w:cs="Calibri" w:eastAsia="Calibri" w:hAnsi="Calibri"/>
          <w:color w:val="2A3439"/>
          <w:sz w:val="21"/>
          <w:szCs w:val="21"/>
        </w:rPr>
        <w:t xml:space="preserve">At each handoff ask: who owned it, what had to be true to pass it, who knew it passed, how long it sat.</w:t>
      </w:r>
    </w:p>
    <w:p>
      <w:pPr>
        <w:pStyle w:val="ListParagraph"/>
        <w:numPr>
          <w:ilvl w:val="0"/>
          <w:numId w:val="2"/>
        </w:numPr>
        <w:spacing w:after="60" w:before="0" w:line="260"/>
      </w:pPr>
      <w:r>
        <w:rPr>
          <w:rFonts w:ascii="Calibri" w:cs="Calibri" w:eastAsia="Calibri" w:hAnsi="Calibri"/>
          <w:color w:val="2A3439"/>
          <w:sz w:val="21"/>
          <w:szCs w:val="21"/>
        </w:rPr>
        <w:t xml:space="preserve">Mark lost fields and repeated questions in a different color. That is the customer-visible cost.</w:t>
      </w:r>
    </w:p>
    <w:p>
      <w:pPr>
        <w:pStyle w:val="ListParagraph"/>
        <w:numPr>
          <w:ilvl w:val="0"/>
          <w:numId w:val="2"/>
        </w:numPr>
        <w:spacing w:after="60" w:before="0" w:line="260"/>
      </w:pPr>
      <w:r>
        <w:rPr>
          <w:rFonts w:ascii="Calibri" w:cs="Calibri" w:eastAsia="Calibri" w:hAnsi="Calibri"/>
          <w:color w:val="2A3439"/>
          <w:sz w:val="21"/>
          <w:szCs w:val="21"/>
        </w:rPr>
        <w:t xml:space="preserve">Do not let this become a prosecution of a named rep.</w:t>
      </w:r>
    </w:p>
    <w:p>
      <w:pPr>
        <w:spacing w:after="40" w:before="160" w:line="240"/>
      </w:pPr>
      <w:r>
        <w:rPr>
          <w:rFonts w:ascii="Calibri" w:cs="Calibri" w:eastAsia="Calibri" w:hAnsi="Calibri"/>
          <w:b/>
          <w:bCs/>
          <w:color w:val="4F46E5"/>
          <w:sz w:val="16"/>
          <w:szCs w:val="16"/>
        </w:rPr>
        <w:t xml:space="preserve">SAY AFTER THE MAP</w:t>
      </w:r>
    </w:p>
    <w:p>
      <w:pPr>
        <w:spacing w:after="120" w:before="0" w:line="276"/>
      </w:pPr>
      <w:r>
        <w:rPr>
          <w:rFonts w:ascii="Calibri" w:cs="Calibri" w:eastAsia="Calibri" w:hAnsi="Calibri"/>
          <w:i/>
          <w:iCs/>
          <w:color w:val="2A3439"/>
          <w:sz w:val="21"/>
          <w:szCs w:val="21"/>
        </w:rPr>
        <w:t xml:space="preserve">This is why executives should care about process. Not because boxes are tidy. Because this path is the product the customer actually experiences, and because every silent wait is revenue velocity you already paid for.</w:t>
      </w:r>
    </w:p>
    <w:p>
      <w:pPr>
        <w:pBdr>
          <w:bottom w:val="single" w:color="4F46E5" w:sz="12" w:space="2"/>
        </w:pBdr>
        <w:spacing w:after="80" w:before="280" w:line="276"/>
      </w:pPr>
      <w:r>
        <w:rPr>
          <w:rFonts w:ascii="Calibri" w:cs="Calibri" w:eastAsia="Calibri" w:hAnsi="Calibri"/>
          <w:b/>
          <w:bCs/>
          <w:color w:val="2A3439"/>
          <w:sz w:val="28"/>
          <w:szCs w:val="28"/>
        </w:rPr>
        <w:t xml:space="preserve">4. What good process looks like — 8 min</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3200"/>
        <w:gridCol w:w="7320"/>
      </w:tblGrid>
      <w:tr>
        <w:tc>
          <w:tcPr>
            <w:tcW w:type="dxa" w:w="32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Good</w:t>
            </w:r>
          </w:p>
        </w:tc>
        <w:tc>
          <w:tcPr>
            <w:tcW w:type="dxa" w:w="73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Not good</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Written, versioned, owned</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In someone’s head, or in a slide last updated at offsite</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Entry and exit a stranger could audit</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‘Qualified’ meaning whatever the team needed this week</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SLA with a clock and an escalation</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‘We try to be fast’</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Exceptions written</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Enterprise deals secretly exempt from every rule</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One gate for process changes</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A Slack message that became policy at 6pm</w:t>
            </w:r>
          </w:p>
        </w:tc>
      </w:tr>
    </w:tbl>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Good process is boring on purpose. Excitement in a handoff is usually someone inventing a special case.</w:t>
      </w:r>
    </w:p>
    <w:p>
      <w:pPr>
        <w:pBdr>
          <w:bottom w:val="single" w:color="4F46E5" w:sz="12" w:space="2"/>
        </w:pBdr>
        <w:spacing w:after="80" w:before="280" w:line="276"/>
      </w:pPr>
      <w:r>
        <w:rPr>
          <w:rFonts w:ascii="Calibri" w:cs="Calibri" w:eastAsia="Calibri" w:hAnsi="Calibri"/>
          <w:b/>
          <w:bCs/>
          <w:color w:val="2A3439"/>
          <w:sz w:val="28"/>
          <w:szCs w:val="28"/>
        </w:rPr>
        <w:t xml:space="preserve">5. Workshop — one seam, one SLA — 20–25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Pick the leakiest seam from the map. Default candidates are MQL to SQL, or Closed-won to Customer Success. If you cannot choose, I will choose the one where the customer repeats themselves.</w:t>
      </w:r>
    </w:p>
    <w:p>
      <w:pPr>
        <w:spacing w:after="40" w:before="160" w:line="240"/>
      </w:pPr>
      <w:r>
        <w:rPr>
          <w:rFonts w:ascii="Calibri" w:cs="Calibri" w:eastAsia="Calibri" w:hAnsi="Calibri"/>
          <w:b/>
          <w:bCs/>
          <w:color w:val="4F46E5"/>
          <w:sz w:val="16"/>
          <w:szCs w:val="16"/>
        </w:rPr>
        <w:t xml:space="preserve">FILL THIS ON THE BOARD — then copy to one page</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3200"/>
        <w:gridCol w:w="7320"/>
      </w:tblGrid>
      <w:tr>
        <w:tc>
          <w:tcPr>
            <w:tcW w:type="dxa" w:w="32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Field</w:t>
            </w:r>
          </w:p>
        </w:tc>
        <w:tc>
          <w:tcPr>
            <w:tcW w:type="dxa" w:w="73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What to write</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Seam</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From team / stage → to team / stage</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Owner</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One name. The referee may own the standard; a function owns the execution.</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Entry criteria</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What must be true to pass. Observable. Not ‘good fit.’</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Required fields</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The five things that may not be blank.</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SLA</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Clock: accepted within X hours. Escalation: to whom, after what.</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Success metric</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One number for 30 days. Example: percent accepted on time, or percent with complete fields.</w:t>
            </w:r>
          </w:p>
        </w:tc>
      </w:tr>
      <w:tr>
        <w:tc>
          <w:tcPr>
            <w:tcW w:type="dxa" w:w="3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color w:val="2A3439"/>
                <w:sz w:val="18"/>
                <w:szCs w:val="18"/>
              </w:rPr>
              <w:t xml:space="preserve">Pilot scope</w:t>
            </w:r>
          </w:p>
        </w:tc>
        <w:tc>
          <w:tcPr>
            <w:tcW w:type="dxa" w:w="7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One segment, one region, or one lead source. Not the company.</w:t>
            </w:r>
          </w:p>
        </w:tc>
      </w:tr>
    </w:tbl>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Three leaders sign the page: the two sides of the seam and the referee. If they will not sign, the criteria are still politics. Tighten until a stranger could audit a pass/fail.</w:t>
      </w:r>
    </w:p>
    <w:p>
      <w:pPr>
        <w:spacing w:after="120" w:before="0" w:line="276"/>
      </w:pPr>
      <w:r>
        <w:rPr>
          <w:rFonts w:ascii="Calibri" w:cs="Calibri" w:eastAsia="Calibri" w:hAnsi="Calibri"/>
          <w:i/>
          <w:iCs/>
          <w:color w:val="2A3439"/>
          <w:sz w:val="21"/>
          <w:szCs w:val="21"/>
        </w:rPr>
        <w:t xml:space="preserve">Charter workstream 2 is this pilot. Do not add a second seam until this one holds for thirty days.</w:t>
      </w:r>
    </w:p>
    <w:p>
      <w:pPr>
        <w:pBdr>
          <w:bottom w:val="single" w:color="4F46E5" w:sz="12" w:space="2"/>
        </w:pBdr>
        <w:spacing w:after="80" w:before="280" w:line="276"/>
      </w:pPr>
      <w:r>
        <w:rPr>
          <w:rFonts w:ascii="Calibri" w:cs="Calibri" w:eastAsia="Calibri" w:hAnsi="Calibri"/>
          <w:b/>
          <w:bCs/>
          <w:color w:val="2A3439"/>
          <w:sz w:val="28"/>
          <w:szCs w:val="28"/>
        </w:rPr>
        <w:t xml:space="preserve">6. Close — 3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Process is the blueprint. We wrote one corridor, not the building. Next session is Data — one dictionary Finance will sign — so this SLA is not enforced against three meanings of ‘qualified.’ Still no stack shopping.</w:t>
      </w:r>
    </w:p>
    <w:p>
      <w:pPr>
        <w:spacing w:after="40" w:before="160" w:line="240"/>
      </w:pPr>
      <w:r>
        <w:rPr>
          <w:rFonts w:ascii="Calibri" w:cs="Calibri" w:eastAsia="Calibri" w:hAnsi="Calibri"/>
          <w:b/>
          <w:bCs/>
          <w:color w:val="4F46E5"/>
          <w:sz w:val="16"/>
          <w:szCs w:val="16"/>
        </w:rPr>
        <w:t xml:space="preserve">LEAVE BEHIND</w:t>
      </w:r>
    </w:p>
    <w:p>
      <w:pPr>
        <w:pStyle w:val="ListParagraph"/>
        <w:numPr>
          <w:ilvl w:val="0"/>
          <w:numId w:val="2"/>
        </w:numPr>
        <w:spacing w:after="60" w:before="0" w:line="260"/>
      </w:pPr>
      <w:r>
        <w:rPr>
          <w:rFonts w:ascii="Calibri" w:cs="Calibri" w:eastAsia="Calibri" w:hAnsi="Calibri"/>
          <w:color w:val="2A3439"/>
          <w:sz w:val="21"/>
          <w:szCs w:val="21"/>
        </w:rPr>
        <w:t xml:space="preserve">Photo of the deal / leak map</w:t>
      </w:r>
    </w:p>
    <w:p>
      <w:pPr>
        <w:pStyle w:val="ListParagraph"/>
        <w:numPr>
          <w:ilvl w:val="0"/>
          <w:numId w:val="2"/>
        </w:numPr>
        <w:spacing w:after="60" w:before="0" w:line="260"/>
      </w:pPr>
      <w:r>
        <w:rPr>
          <w:rFonts w:ascii="Calibri" w:cs="Calibri" w:eastAsia="Calibri" w:hAnsi="Calibri"/>
          <w:color w:val="2A3439"/>
          <w:sz w:val="21"/>
          <w:szCs w:val="21"/>
        </w:rPr>
        <w:t xml:space="preserve">One signed SLA page</w:t>
      </w:r>
    </w:p>
    <w:p>
      <w:pPr>
        <w:pStyle w:val="ListParagraph"/>
        <w:numPr>
          <w:ilvl w:val="0"/>
          <w:numId w:val="2"/>
        </w:numPr>
        <w:spacing w:after="60" w:before="0" w:line="260"/>
      </w:pPr>
      <w:r>
        <w:rPr>
          <w:rFonts w:ascii="Calibri" w:cs="Calibri" w:eastAsia="Calibri" w:hAnsi="Calibri"/>
          <w:color w:val="2A3439"/>
          <w:sz w:val="21"/>
          <w:szCs w:val="21"/>
        </w:rPr>
        <w:t xml:space="preserve">Pilot owner, start date, 30-day review</w:t>
      </w:r>
    </w:p>
    <w:p>
      <w:pPr>
        <w:pStyle w:val="ListParagraph"/>
        <w:numPr>
          <w:ilvl w:val="0"/>
          <w:numId w:val="2"/>
        </w:numPr>
        <w:spacing w:after="60" w:before="0" w:line="260"/>
      </w:pPr>
      <w:r>
        <w:rPr>
          <w:rFonts w:ascii="Calibri" w:cs="Calibri" w:eastAsia="Calibri" w:hAnsi="Calibri"/>
          <w:color w:val="2A3439"/>
          <w:sz w:val="21"/>
          <w:szCs w:val="21"/>
        </w:rPr>
        <w:t xml:space="preserve">Date for Session 3</w:t>
      </w:r>
    </w:p>
    <w:p>
      <w:pPr>
        <w:pBdr>
          <w:bottom w:val="single" w:color="4F46E5" w:sz="12" w:space="2"/>
        </w:pBdr>
        <w:spacing w:after="80" w:before="280" w:line="276"/>
      </w:pPr>
      <w:r>
        <w:rPr>
          <w:rFonts w:ascii="Calibri" w:cs="Calibri" w:eastAsia="Calibri" w:hAnsi="Calibri"/>
          <w:b/>
          <w:bCs/>
          <w:color w:val="2A3439"/>
          <w:sz w:val="28"/>
          <w:szCs w:val="28"/>
        </w:rPr>
        <w:t xml:space="preserve">If the room derails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3600"/>
        <w:gridCol w:w="6920"/>
      </w:tblGrid>
      <w:tr>
        <w:tc>
          <w:tcPr>
            <w:tcW w:type="dxa" w:w="36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They say</w:t>
            </w:r>
          </w:p>
        </w:tc>
        <w:tc>
          <w:tcPr>
            <w:tcW w:type="dxa" w:w="69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color w:val="FFFFFF"/>
                <w:sz w:val="17"/>
                <w:szCs w:val="17"/>
              </w:rPr>
              <w:t xml:space="preserve">You say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Our methodology already covers this.</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Methodology lives inside a stage. Who owns the pass between stages, and what must be true?</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Enterprise deals cannot follow rules.</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Then write the exception: who may grant it, what still must be recorded. An unwritten exception is the whole process.</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Let’s automate routing first.</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Automating an unwritten handoff writes the mess into the system. Paper first. Then the system enforces the paper.</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We should map everything today.</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A mural is not an operating system. One seam that holds beats twelve boxes that do not.</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CS was not in the original deal.</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color w:val="2A3439"/>
                <w:sz w:val="18"/>
                <w:szCs w:val="18"/>
              </w:rPr>
              <w:t xml:space="preserve">That is the leak. The customer did not pause between Closed-won and onboarding. The org chart did.</w:t>
            </w:r>
          </w:p>
        </w:tc>
      </w:tr>
    </w:tbl>
    <w:p>
      <w:pPr>
        <w:pBdr>
          <w:bottom w:val="single" w:color="4F46E5" w:sz="12" w:space="2"/>
        </w:pBdr>
        <w:spacing w:after="80" w:before="280" w:line="276"/>
      </w:pPr>
      <w:r>
        <w:rPr>
          <w:rFonts w:ascii="Calibri" w:cs="Calibri" w:eastAsia="Calibri" w:hAnsi="Calibri"/>
          <w:b/>
          <w:bCs/>
          <w:color w:val="2A3439"/>
          <w:sz w:val="28"/>
          <w:szCs w:val="28"/>
        </w:rPr>
        <w:t xml:space="preserve">What you will not do in Session 2</w:t>
      </w:r>
    </w:p>
    <w:p>
      <w:pPr>
        <w:pStyle w:val="ListParagraph"/>
        <w:numPr>
          <w:ilvl w:val="0"/>
          <w:numId w:val="2"/>
        </w:numPr>
        <w:spacing w:after="60" w:before="0" w:line="260"/>
      </w:pPr>
      <w:r>
        <w:rPr>
          <w:rFonts w:ascii="Calibri" w:cs="Calibri" w:eastAsia="Calibri" w:hAnsi="Calibri"/>
          <w:color w:val="2A3439"/>
          <w:sz w:val="21"/>
          <w:szCs w:val="21"/>
        </w:rPr>
        <w:t xml:space="preserve">Redesign the full lifecycle.</w:t>
      </w:r>
    </w:p>
    <w:p>
      <w:pPr>
        <w:pStyle w:val="ListParagraph"/>
        <w:numPr>
          <w:ilvl w:val="0"/>
          <w:numId w:val="2"/>
        </w:numPr>
        <w:spacing w:after="60" w:before="0" w:line="260"/>
      </w:pPr>
      <w:r>
        <w:rPr>
          <w:rFonts w:ascii="Calibri" w:cs="Calibri" w:eastAsia="Calibri" w:hAnsi="Calibri"/>
          <w:color w:val="2A3439"/>
          <w:sz w:val="21"/>
          <w:szCs w:val="21"/>
        </w:rPr>
        <w:t xml:space="preserve">Argue sales methodology.</w:t>
      </w:r>
    </w:p>
    <w:p>
      <w:pPr>
        <w:pStyle w:val="ListParagraph"/>
        <w:numPr>
          <w:ilvl w:val="0"/>
          <w:numId w:val="2"/>
        </w:numPr>
        <w:spacing w:after="60" w:before="0" w:line="260"/>
      </w:pPr>
      <w:r>
        <w:rPr>
          <w:rFonts w:ascii="Calibri" w:cs="Calibri" w:eastAsia="Calibri" w:hAnsi="Calibri"/>
          <w:color w:val="2A3439"/>
          <w:sz w:val="21"/>
          <w:szCs w:val="21"/>
        </w:rPr>
        <w:t xml:space="preserve">Approve a workflow product.</w:t>
      </w:r>
    </w:p>
    <w:p>
      <w:pPr>
        <w:pStyle w:val="ListParagraph"/>
        <w:numPr>
          <w:ilvl w:val="0"/>
          <w:numId w:val="2"/>
        </w:numPr>
        <w:spacing w:after="60" w:before="0" w:line="260"/>
      </w:pPr>
      <w:r>
        <w:rPr>
          <w:rFonts w:ascii="Calibri" w:cs="Calibri" w:eastAsia="Calibri" w:hAnsi="Calibri"/>
          <w:color w:val="2A3439"/>
          <w:sz w:val="21"/>
          <w:szCs w:val="21"/>
        </w:rPr>
        <w:t xml:space="preserve">Leave with ‘we’ll document this later.’</w:t>
      </w:r>
    </w:p>
    <w:p>
      <w:pPr>
        <w:pBdr>
          <w:bottom w:val="single" w:color="4F46E5" w:sz="12" w:space="2"/>
        </w:pBdr>
        <w:spacing w:after="80" w:before="280" w:line="276"/>
      </w:pPr>
      <w:r>
        <w:rPr>
          <w:rFonts w:ascii="Calibri" w:cs="Calibri" w:eastAsia="Calibri" w:hAnsi="Calibri"/>
          <w:b/>
          <w:bCs/>
          <w:color w:val="2A3439"/>
          <w:sz w:val="28"/>
          <w:szCs w:val="28"/>
        </w:rPr>
        <w:t xml:space="preserve">Success test</w:t>
      </w:r>
    </w:p>
    <w:p>
      <w:pPr>
        <w:spacing w:after="120" w:before="0" w:line="276"/>
      </w:pPr>
      <w:r>
        <w:rPr>
          <w:rFonts w:ascii="Calibri" w:cs="Calibri" w:eastAsia="Calibri" w:hAnsi="Calibri"/>
          <w:color w:val="2A3439"/>
          <w:sz w:val="21"/>
          <w:szCs w:val="21"/>
        </w:rPr>
        <w:t xml:space="preserve">The session worked if a stranger could audit whether a record may pass the chosen seam, a named owner has a 30-day clock, and no one left the room believing a tool purchase was the action.</w:t>
      </w:r>
    </w:p>
    <w:sectPr>
      <w:headerReference w:type="default" r:id="rId7"/>
      <w:footerReference w:type="default" r:id="rId8"/>
      <w:pgSz w:w="12240" w:h="15840" w:orient="portrait"/>
      <w:pgMar w:top="860" w:right="860" w:bottom="80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C676C"/>
        <w:sz w:val="15"/>
        <w:szCs w:val="15"/>
      </w:rPr>
      <w:t xml:space="preserve">RevOps  ·  Process  ·  60–90 minutes  ·  </w:t>
    </w:r>
    <w:r>
      <w:rPr>
        <w:rFonts w:ascii="Calibri" w:cs="Calibri" w:eastAsia="Calibri" w:hAnsi="Calibri"/>
        <w:color w:val="5C676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rPr>
        <w:rFonts w:ascii="Calibri" w:cs="Calibri" w:eastAsia="Calibri" w:hAnsi="Calibri"/>
        <w:b/>
        <w:bCs/>
        <w:color w:val="2A3439"/>
        <w:sz w:val="15"/>
        <w:szCs w:val="15"/>
      </w:rPr>
      <w:t xml:space="preserve">SESSION 2  ·  SPEAKING SCRIPT</w:t>
    </w:r>
    <w:r>
      <w:rPr>
        <w:rFonts w:ascii="Calibri" w:cs="Calibri" w:eastAsia="Calibri" w:hAnsi="Calibri"/>
        <w:color w:val="5C676C"/>
        <w:sz w:val="15"/>
        <w:szCs w:val="15"/>
      </w:rPr>
      <w:t xml:space="preserve">     Educational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2026-09-17T16:51:41.852Z</dcterms:created>
  <dcterms:modified xsi:type="dcterms:W3CDTF">2026-09-17T16:51:41.852Z</dcterms:modified>
</cp:coreProperties>
</file>

<file path=docProps/custom.xml><?xml version="1.0" encoding="utf-8"?>
<Properties xmlns="http://schemas.openxmlformats.org/officeDocument/2006/custom-properties" xmlns:vt="http://schemas.openxmlformats.org/officeDocument/2006/docPropsVTypes"/>
</file>