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Calibri" w:cs="Calibri" w:eastAsia="Calibri" w:hAnsi="Calibri"/>
          <w:b/>
          <w:bCs/>
          <w:color w:val="4F46E5"/>
          <w:sz w:val="20"/>
          <w:szCs w:val="20"/>
        </w:rPr>
        <w:t xml:space="preserve">SESSION 4</w:t>
      </w:r>
    </w:p>
    <w:p>
      <w:pPr>
        <w:spacing w:after="40" w:before="0" w:line="276"/>
      </w:pPr>
      <w:r>
        <w:rPr>
          <w:rFonts w:ascii="Calibri" w:cs="Calibri" w:eastAsia="Calibri" w:hAnsi="Calibri"/>
          <w:b/>
          <w:bCs/>
          <w:color w:val="2A3439"/>
          <w:sz w:val="36"/>
          <w:szCs w:val="36"/>
        </w:rPr>
        <w:t xml:space="preserve">Technology — the stack that serves the model</w:t>
      </w:r>
    </w:p>
    <w:p>
      <w:pPr>
        <w:spacing w:after="200" w:before="0" w:line="276"/>
      </w:pPr>
      <w:r>
        <w:rPr>
          <w:rFonts w:ascii="Calibri" w:cs="Calibri" w:eastAsia="Calibri" w:hAnsi="Calibri"/>
          <w:i/>
          <w:iCs/>
          <w:color w:val="5C676C"/>
          <w:sz w:val="22"/>
          <w:szCs w:val="22"/>
        </w:rPr>
        <w:t xml:space="preserve">Last pillar on purpose. Architecture and a kill list. Not a vendor bake-off.</w:t>
      </w:r>
    </w:p>
    <w:p>
      <w:pPr>
        <w:pBdr>
          <w:bottom w:val="single" w:color="4F46E5" w:sz="12" w:space="2"/>
        </w:pBdr>
        <w:spacing w:after="80" w:before="280" w:line="276"/>
      </w:pPr>
      <w:r>
        <w:rPr>
          <w:rFonts w:ascii="Calibri" w:cs="Calibri" w:eastAsia="Calibri" w:hAnsi="Calibri"/>
          <w:b/>
          <w:bCs/>
          <w:color w:val="2A3439"/>
          <w:sz w:val="28"/>
          <w:szCs w:val="28"/>
        </w:rPr>
        <w:t xml:space="preserve">How to use this script</w:t>
      </w:r>
    </w:p>
    <w:p>
      <w:pPr>
        <w:pStyle w:val="ListParagraph"/>
        <w:numPr>
          <w:ilvl w:val="0"/>
          <w:numId w:val="2"/>
        </w:numPr>
        <w:spacing w:after="60" w:before="0" w:line="260"/>
      </w:pPr>
      <w:r>
        <w:rPr>
          <w:rFonts w:ascii="Calibri" w:cs="Calibri" w:eastAsia="Calibri" w:hAnsi="Calibri"/>
          <w:color w:val="2A3439"/>
          <w:sz w:val="21"/>
          <w:szCs w:val="21"/>
        </w:rPr>
        <w:t xml:space="preserve">Only run this after a referee, one seam, and a draft dictionary exist. If those are missing, this session becomes a shopping trip.</w:t>
      </w:r>
    </w:p>
    <w:p>
      <w:pPr>
        <w:pStyle w:val="ListParagraph"/>
        <w:numPr>
          <w:ilvl w:val="0"/>
          <w:numId w:val="2"/>
        </w:numPr>
        <w:spacing w:after="60" w:before="0" w:line="260"/>
      </w:pPr>
      <w:r>
        <w:rPr>
          <w:rFonts w:ascii="Calibri" w:cs="Calibri" w:eastAsia="Calibri" w:hAnsi="Calibri"/>
          <w:color w:val="2A3439"/>
          <w:sz w:val="21"/>
          <w:szCs w:val="21"/>
        </w:rPr>
        <w:t xml:space="preserve">Bring a one-page inventory if you can: tool, annual cost, owner, whether it is actually used, whether it invents its own definitions.</w:t>
      </w:r>
    </w:p>
    <w:p>
      <w:pPr>
        <w:pStyle w:val="ListParagraph"/>
        <w:numPr>
          <w:ilvl w:val="0"/>
          <w:numId w:val="2"/>
        </w:numPr>
        <w:spacing w:after="60" w:before="0" w:line="260"/>
      </w:pPr>
      <w:r>
        <w:rPr>
          <w:rFonts w:ascii="Calibri" w:cs="Calibri" w:eastAsia="Calibri" w:hAnsi="Calibri"/>
          <w:color w:val="2A3439"/>
          <w:sz w:val="21"/>
          <w:szCs w:val="21"/>
        </w:rPr>
        <w:t xml:space="preserve">Output: a stack map, a freeze on net-new purchases, one or two integration breaks to fix. Not a shortlist of platforms.</w:t>
      </w:r>
    </w:p>
    <w:p>
      <w:pPr>
        <w:pStyle w:val="ListParagraph"/>
        <w:numPr>
          <w:ilvl w:val="0"/>
          <w:numId w:val="2"/>
        </w:numPr>
        <w:spacing w:after="60" w:before="0" w:line="260"/>
      </w:pPr>
      <w:r>
        <w:rPr>
          <w:rFonts w:ascii="Calibri" w:cs="Calibri" w:eastAsia="Calibri" w:hAnsi="Calibri"/>
          <w:color w:val="2A3439"/>
          <w:sz w:val="21"/>
          <w:szCs w:val="21"/>
        </w:rPr>
        <w:t xml:space="preserve">Vendors do not attend.</w:t>
      </w:r>
    </w:p>
    <w:p>
      <w:pPr>
        <w:spacing w:after="80" w:before="0" w:line="276"/>
      </w:pPr>
      <w:r>
        <w:rPr>
          <w:rFonts w:ascii="Calibri" w:cs="Calibri" w:eastAsia="Calibri" w:hAnsi="Calibri"/>
          <w:color w:val="2A3439"/>
          <w:sz w:val="21"/>
          <w:szCs w:val="21"/>
        </w:rPr>
        <w:t xml:space="preserve">In the room: sponsor, CRO, CMO, CS, referee, CFO (cost and system of record). IT or security if they can veto purchases — better they hear the freeze from you.</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2800"/>
        <w:gridCol w:w="7720"/>
      </w:tblGrid>
      <w:tr>
        <w:tc>
          <w:tcPr>
            <w:tcW w:type="dxa" w:w="28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Block</w:t>
            </w:r>
          </w:p>
        </w:tc>
        <w:tc>
          <w:tcPr>
            <w:tcW w:type="dxa" w:w="77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Time</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Recap and contract</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5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Why this pillar is last</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6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Questions C-levels should ask</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8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Map the stack by job, not by brand</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10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AI, honestly</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6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Workshop: inventory, breaks, freeze</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20–25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Close</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3 min</w:t>
            </w:r>
          </w:p>
        </w:tc>
      </w:tr>
    </w:tbl>
    <w:p>
      <w:pPr>
        <w:pBdr>
          <w:bottom w:val="single" w:color="4F46E5" w:sz="12" w:space="2"/>
        </w:pBdr>
        <w:spacing w:after="80" w:before="280" w:line="276"/>
      </w:pPr>
      <w:r>
        <w:rPr>
          <w:rFonts w:ascii="Calibri" w:cs="Calibri" w:eastAsia="Calibri" w:hAnsi="Calibri"/>
          <w:b/>
          <w:bCs/>
          <w:color w:val="2A3439"/>
          <w:sz w:val="28"/>
          <w:szCs w:val="28"/>
        </w:rPr>
        <w:t xml:space="preserve">0. Recap and contract — 5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We have a referee, a seam, and a language. Today we look at the machines those things must run on. I will not recommend a CRM. I will ask whether each tool enforces our dictionary or invents its own, who owns the joins between them, and what we will stop buying for ninety days.</w:t>
      </w:r>
    </w:p>
    <w:p>
      <w:pPr>
        <w:spacing w:after="40" w:before="160" w:line="240"/>
      </w:pPr>
      <w:r>
        <w:rPr>
          <w:rFonts w:ascii="Calibri" w:cs="Calibri" w:eastAsia="Calibri" w:hAnsi="Calibri"/>
          <w:b/>
          <w:bCs/>
          <w:color w:val="4F46E5"/>
          <w:sz w:val="16"/>
          <w:szCs w:val="16"/>
        </w:rPr>
        <w:t xml:space="preserve">WRITE AND LEAVE UP</w:t>
      </w:r>
    </w:p>
    <w:p>
      <w:pPr>
        <w:pStyle w:val="ListParagraph"/>
        <w:numPr>
          <w:ilvl w:val="0"/>
          <w:numId w:val="3"/>
        </w:numPr>
        <w:spacing w:after="60" w:before="0" w:line="260"/>
      </w:pPr>
      <w:r>
        <w:rPr>
          <w:rFonts w:ascii="Calibri" w:cs="Calibri" w:eastAsia="Calibri" w:hAnsi="Calibri"/>
          <w:color w:val="2A3439"/>
          <w:sz w:val="21"/>
          <w:szCs w:val="21"/>
        </w:rPr>
        <w:t xml:space="preserve">Tools enforce the model. They do not create it.</w:t>
      </w:r>
    </w:p>
    <w:p>
      <w:pPr>
        <w:pStyle w:val="ListParagraph"/>
        <w:numPr>
          <w:ilvl w:val="0"/>
          <w:numId w:val="3"/>
        </w:numPr>
        <w:spacing w:after="60" w:before="0" w:line="260"/>
      </w:pPr>
      <w:r>
        <w:rPr>
          <w:rFonts w:ascii="Calibri" w:cs="Calibri" w:eastAsia="Calibri" w:hAnsi="Calibri"/>
          <w:color w:val="2A3439"/>
          <w:sz w:val="21"/>
          <w:szCs w:val="21"/>
        </w:rPr>
        <w:t xml:space="preserve">Architecture and a kill list. Not a bake-off.</w:t>
      </w:r>
    </w:p>
    <w:p>
      <w:pPr>
        <w:pBdr>
          <w:bottom w:val="single" w:color="4F46E5" w:sz="12" w:space="2"/>
        </w:pBdr>
        <w:spacing w:after="80" w:before="280" w:line="276"/>
      </w:pPr>
      <w:r>
        <w:rPr>
          <w:rFonts w:ascii="Calibri" w:cs="Calibri" w:eastAsia="Calibri" w:hAnsi="Calibri"/>
          <w:b/>
          <w:bCs/>
          <w:color w:val="2A3439"/>
          <w:sz w:val="28"/>
          <w:szCs w:val="28"/>
        </w:rPr>
        <w:t xml:space="preserve">1. Why this pillar is last — 6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Most failed RevOps programs start here. A platform is visible. A definition is not. Buying a system feels like progress. It is progress only if the path and the words already exist. Otherwise you have paid to accelerate three versions of the truth.</w:t>
      </w:r>
    </w:p>
    <w:p>
      <w:pPr>
        <w:spacing w:after="120" w:before="0" w:line="276"/>
      </w:pPr>
      <w:r>
        <w:rPr>
          <w:rFonts w:ascii="Calibri" w:cs="Calibri" w:eastAsia="Calibri" w:hAnsi="Calibri"/>
          <w:i/>
          <w:iCs/>
          <w:color w:val="2A3439"/>
          <w:sz w:val="21"/>
          <w:szCs w:val="21"/>
        </w:rPr>
        <w:t xml:space="preserve">RevOps owns the architecture and the kill list — not every admin ticket, not every integration request from a team that lost an argument in Session 3.</w:t>
      </w:r>
    </w:p>
    <w:p>
      <w:pPr>
        <w:pBdr>
          <w:bottom w:val="single" w:color="4F46E5" w:sz="12" w:space="2"/>
        </w:pBdr>
        <w:spacing w:after="80" w:before="280" w:line="276"/>
      </w:pPr>
      <w:r>
        <w:rPr>
          <w:rFonts w:ascii="Calibri" w:cs="Calibri" w:eastAsia="Calibri" w:hAnsi="Calibri"/>
          <w:b/>
          <w:bCs/>
          <w:color w:val="2A3439"/>
          <w:sz w:val="28"/>
          <w:szCs w:val="28"/>
        </w:rPr>
        <w:t xml:space="preserve">2. Questions C-levels should ask — 8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Replace ‘which CRM?’ with these. They work on any stack.</w:t>
      </w:r>
    </w:p>
    <w:p>
      <w:pPr>
        <w:pStyle w:val="ListParagraph"/>
        <w:numPr>
          <w:ilvl w:val="0"/>
          <w:numId w:val="2"/>
        </w:numPr>
        <w:spacing w:after="60" w:before="0" w:line="260"/>
      </w:pPr>
      <w:r>
        <w:rPr>
          <w:rFonts w:ascii="Calibri" w:cs="Calibri" w:eastAsia="Calibri" w:hAnsi="Calibri"/>
          <w:color w:val="2A3439"/>
          <w:sz w:val="21"/>
          <w:szCs w:val="21"/>
        </w:rPr>
        <w:t xml:space="preserve">Does this tool enforce our definitions, or does it ship its own stages and its own idea of a lead?</w:t>
      </w:r>
    </w:p>
    <w:p>
      <w:pPr>
        <w:pStyle w:val="ListParagraph"/>
        <w:numPr>
          <w:ilvl w:val="0"/>
          <w:numId w:val="2"/>
        </w:numPr>
        <w:spacing w:after="60" w:before="0" w:line="260"/>
      </w:pPr>
      <w:r>
        <w:rPr>
          <w:rFonts w:ascii="Calibri" w:cs="Calibri" w:eastAsia="Calibri" w:hAnsi="Calibri"/>
          <w:color w:val="2A3439"/>
          <w:sz w:val="21"/>
          <w:szCs w:val="21"/>
        </w:rPr>
        <w:t xml:space="preserve">Who owns integration quality — the join, not the logo?</w:t>
      </w:r>
    </w:p>
    <w:p>
      <w:pPr>
        <w:pStyle w:val="ListParagraph"/>
        <w:numPr>
          <w:ilvl w:val="0"/>
          <w:numId w:val="2"/>
        </w:numPr>
        <w:spacing w:after="60" w:before="0" w:line="260"/>
      </w:pPr>
      <w:r>
        <w:rPr>
          <w:rFonts w:ascii="Calibri" w:cs="Calibri" w:eastAsia="Calibri" w:hAnsi="Calibri"/>
          <w:color w:val="2A3439"/>
          <w:sz w:val="21"/>
          <w:szCs w:val="21"/>
        </w:rPr>
        <w:t xml:space="preserve">What do we turn off when we turn this on?</w:t>
      </w:r>
    </w:p>
    <w:p>
      <w:pPr>
        <w:pStyle w:val="ListParagraph"/>
        <w:numPr>
          <w:ilvl w:val="0"/>
          <w:numId w:val="2"/>
        </w:numPr>
        <w:spacing w:after="60" w:before="0" w:line="260"/>
      </w:pPr>
      <w:r>
        <w:rPr>
          <w:rFonts w:ascii="Calibri" w:cs="Calibri" w:eastAsia="Calibri" w:hAnsi="Calibri"/>
          <w:color w:val="2A3439"/>
          <w:sz w:val="21"/>
          <w:szCs w:val="21"/>
        </w:rPr>
        <w:t xml:space="preserve">Are we buying a capability we have not designed a process for?</w:t>
      </w:r>
    </w:p>
    <w:p>
      <w:pPr>
        <w:pStyle w:val="ListParagraph"/>
        <w:numPr>
          <w:ilvl w:val="0"/>
          <w:numId w:val="2"/>
        </w:numPr>
        <w:spacing w:after="60" w:before="0" w:line="260"/>
      </w:pPr>
      <w:r>
        <w:rPr>
          <w:rFonts w:ascii="Calibri" w:cs="Calibri" w:eastAsia="Calibri" w:hAnsi="Calibri"/>
          <w:color w:val="2A3439"/>
          <w:sz w:val="21"/>
          <w:szCs w:val="21"/>
        </w:rPr>
        <w:t xml:space="preserve">If this vendor disappeared on Monday, which decision of ours would break — and which report would merely get uglier?</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The last question separates a system of record from a convenience. Protect the first. Be willing to kill the second.</w:t>
      </w:r>
    </w:p>
    <w:p>
      <w:pPr>
        <w:pBdr>
          <w:bottom w:val="single" w:color="4F46E5" w:sz="12" w:space="2"/>
        </w:pBdr>
        <w:spacing w:after="80" w:before="280" w:line="276"/>
      </w:pPr>
      <w:r>
        <w:rPr>
          <w:rFonts w:ascii="Calibri" w:cs="Calibri" w:eastAsia="Calibri" w:hAnsi="Calibri"/>
          <w:b/>
          <w:bCs/>
          <w:color w:val="2A3439"/>
          <w:sz w:val="28"/>
          <w:szCs w:val="28"/>
        </w:rPr>
        <w:t xml:space="preserve">3. Map the stack by job — 10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Brand names change. Jobs do not. Put tools under jobs, not the other way around.</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3600"/>
        <w:gridCol w:w="6920"/>
      </w:tblGrid>
      <w:tr>
        <w:tc>
          <w:tcPr>
            <w:tcW w:type="dxa" w:w="36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Job</w:t>
            </w:r>
          </w:p>
        </w:tc>
        <w:tc>
          <w:tcPr>
            <w:tcW w:type="dxa" w:w="69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Typical home</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System of record</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CRM for people and pipeline. Billing or subscription for money that Finance will sign.</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Demand and engagement</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MAP, sequencing, ads. Must accept the dictionary, not replace it.</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Configure / price / quote</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CPQ if the path needs it. Otherwise a disciplined CRM + Finance path.</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Customer after Closed-won</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CS platform or CRM. One customer record, not a second company.</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See and decide</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BI on the frozen definitions. One exec dashboard, not one per function.</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Join the above</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Integration layer or warehouse — after the law exists, not instead of it.</w:t>
            </w:r>
          </w:p>
        </w:tc>
      </w:tr>
    </w:tbl>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Conversation intelligence and enablement are useful. They are not the system of record. Do not let a recording tool become a second CRM.</w:t>
      </w:r>
    </w:p>
    <w:p>
      <w:pPr>
        <w:pBdr>
          <w:bottom w:val="single" w:color="4F46E5" w:sz="12" w:space="2"/>
        </w:pBdr>
        <w:spacing w:after="80" w:before="280" w:line="276"/>
      </w:pPr>
      <w:r>
        <w:rPr>
          <w:rFonts w:ascii="Calibri" w:cs="Calibri" w:eastAsia="Calibri" w:hAnsi="Calibri"/>
          <w:b/>
          <w:bCs/>
          <w:color w:val="2A3439"/>
          <w:sz w:val="28"/>
          <w:szCs w:val="28"/>
        </w:rPr>
        <w:t xml:space="preserve">4. AI, honestly — 6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AI in RevOps multiplies whatever you already have. Split definitions in, confident nonsense out. That is not a reason to ignore it. It is a reason not to start here.</w:t>
      </w:r>
    </w:p>
    <w:p>
      <w:pPr>
        <w:spacing w:after="120" w:before="0" w:line="276"/>
      </w:pPr>
      <w:r>
        <w:rPr>
          <w:rFonts w:ascii="Calibri" w:cs="Calibri" w:eastAsia="Calibri" w:hAnsi="Calibri"/>
          <w:i/>
          <w:iCs/>
          <w:color w:val="2A3439"/>
          <w:sz w:val="21"/>
          <w:szCs w:val="21"/>
        </w:rPr>
        <w:t xml:space="preserve">Use cases worth a C-level conversation later: forecast assistance against frozen categories, routing against frozen entry criteria, handoff summaries that carry the required fields, anomaly flags on pipeline aging or churn. Not ‘an AI RevOps strategy.’ Not an agent allowed to invent stages.</w:t>
      </w:r>
    </w:p>
    <w:p>
      <w:pPr>
        <w:pBdr>
          <w:bottom w:val="single" w:color="4F46E5" w:sz="12" w:space="2"/>
        </w:pBdr>
        <w:spacing w:after="80" w:before="280" w:line="276"/>
      </w:pPr>
      <w:r>
        <w:rPr>
          <w:rFonts w:ascii="Calibri" w:cs="Calibri" w:eastAsia="Calibri" w:hAnsi="Calibri"/>
          <w:b/>
          <w:bCs/>
          <w:color w:val="2A3439"/>
          <w:sz w:val="28"/>
          <w:szCs w:val="28"/>
        </w:rPr>
        <w:t xml:space="preserve">5. Workshop — 20–25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Three columns on the board: tool, job it claims, job it actually does. Then cost and owner. Then a yes/no: does it obey the dictionary?</w:t>
      </w:r>
    </w:p>
    <w:p>
      <w:pPr>
        <w:spacing w:after="40" w:before="160" w:line="240"/>
      </w:pPr>
      <w:r>
        <w:rPr>
          <w:rFonts w:ascii="Calibri" w:cs="Calibri" w:eastAsia="Calibri" w:hAnsi="Calibri"/>
          <w:b/>
          <w:bCs/>
          <w:color w:val="4F46E5"/>
          <w:sz w:val="16"/>
          <w:szCs w:val="16"/>
        </w:rPr>
        <w:t xml:space="preserve">RUN THIS SEQUENCE</w:t>
      </w:r>
    </w:p>
    <w:p>
      <w:pPr>
        <w:pStyle w:val="ListParagraph"/>
        <w:numPr>
          <w:ilvl w:val="0"/>
          <w:numId w:val="2"/>
        </w:numPr>
        <w:spacing w:after="60" w:before="0" w:line="260"/>
      </w:pPr>
      <w:r>
        <w:rPr>
          <w:rFonts w:ascii="Calibri" w:cs="Calibri" w:eastAsia="Calibri" w:hAnsi="Calibri"/>
          <w:color w:val="2A3439"/>
          <w:sz w:val="21"/>
          <w:szCs w:val="21"/>
        </w:rPr>
        <w:t xml:space="preserve">Inventory. If nobody can list the stack in ten minutes, that is already a finding.</w:t>
      </w:r>
    </w:p>
    <w:p>
      <w:pPr>
        <w:pStyle w:val="ListParagraph"/>
        <w:numPr>
          <w:ilvl w:val="0"/>
          <w:numId w:val="2"/>
        </w:numPr>
        <w:spacing w:after="60" w:before="0" w:line="260"/>
      </w:pPr>
      <w:r>
        <w:rPr>
          <w:rFonts w:ascii="Calibri" w:cs="Calibri" w:eastAsia="Calibri" w:hAnsi="Calibri"/>
          <w:color w:val="2A3439"/>
          <w:sz w:val="21"/>
          <w:szCs w:val="21"/>
        </w:rPr>
        <w:t xml:space="preserve">Circle tools that invent stages, lead statuses, or revenue numbers the dictionary does not allow.</w:t>
      </w:r>
    </w:p>
    <w:p>
      <w:pPr>
        <w:pStyle w:val="ListParagraph"/>
        <w:numPr>
          <w:ilvl w:val="0"/>
          <w:numId w:val="2"/>
        </w:numPr>
        <w:spacing w:after="60" w:before="0" w:line="260"/>
      </w:pPr>
      <w:r>
        <w:rPr>
          <w:rFonts w:ascii="Calibri" w:cs="Calibri" w:eastAsia="Calibri" w:hAnsi="Calibri"/>
          <w:color w:val="2A3439"/>
          <w:sz w:val="21"/>
          <w:szCs w:val="21"/>
        </w:rPr>
        <w:t xml:space="preserve">Name the one or two integration breaks that create two versions of truth. Those are the only build items from this session.</w:t>
      </w:r>
    </w:p>
    <w:p>
      <w:pPr>
        <w:pStyle w:val="ListParagraph"/>
        <w:numPr>
          <w:ilvl w:val="0"/>
          <w:numId w:val="2"/>
        </w:numPr>
        <w:spacing w:after="60" w:before="0" w:line="260"/>
      </w:pPr>
      <w:r>
        <w:rPr>
          <w:rFonts w:ascii="Calibri" w:cs="Calibri" w:eastAsia="Calibri" w:hAnsi="Calibri"/>
          <w:color w:val="2A3439"/>
          <w:sz w:val="21"/>
          <w:szCs w:val="21"/>
        </w:rPr>
        <w:t xml:space="preserve">Freeze net-new GTM purchases for ninety days unless the referee and sponsor agree it fixes a named process gap.</w:t>
      </w:r>
    </w:p>
    <w:p>
      <w:pPr>
        <w:pStyle w:val="ListParagraph"/>
        <w:numPr>
          <w:ilvl w:val="0"/>
          <w:numId w:val="2"/>
        </w:numPr>
        <w:spacing w:after="60" w:before="0" w:line="260"/>
      </w:pPr>
      <w:r>
        <w:rPr>
          <w:rFonts w:ascii="Calibri" w:cs="Calibri" w:eastAsia="Calibri" w:hAnsi="Calibri"/>
          <w:color w:val="2A3439"/>
          <w:sz w:val="21"/>
          <w:szCs w:val="21"/>
        </w:rPr>
        <w:t xml:space="preserve">Write a do-not-buy list: categories you will not entertain until the pilot seam and the dictionary hold.</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CFO watches cost. Referee watches definitions. If those two disagree on a purchase, the sponsor breaks the tie — after Session 3, not before.</w:t>
      </w:r>
    </w:p>
    <w:p>
      <w:pPr>
        <w:pBdr>
          <w:bottom w:val="single" w:color="4F46E5" w:sz="12" w:space="2"/>
        </w:pBdr>
        <w:spacing w:after="80" w:before="280" w:line="276"/>
      </w:pPr>
      <w:r>
        <w:rPr>
          <w:rFonts w:ascii="Calibri" w:cs="Calibri" w:eastAsia="Calibri" w:hAnsi="Calibri"/>
          <w:b/>
          <w:bCs/>
          <w:color w:val="2A3439"/>
          <w:sz w:val="28"/>
          <w:szCs w:val="28"/>
        </w:rPr>
        <w:t xml:space="preserve">6. Close — 3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The four pillars are now on the table. Next session is standing it up: ninety days, three workstreams, what we will stop. We already have the raw material — referee, seam, dictionary, freeze.</w:t>
      </w:r>
    </w:p>
    <w:p>
      <w:pPr>
        <w:spacing w:after="40" w:before="160" w:line="240"/>
      </w:pPr>
      <w:r>
        <w:rPr>
          <w:rFonts w:ascii="Calibri" w:cs="Calibri" w:eastAsia="Calibri" w:hAnsi="Calibri"/>
          <w:b/>
          <w:bCs/>
          <w:color w:val="4F46E5"/>
          <w:sz w:val="16"/>
          <w:szCs w:val="16"/>
        </w:rPr>
        <w:t xml:space="preserve">LEAVE BEHIND</w:t>
      </w:r>
    </w:p>
    <w:p>
      <w:pPr>
        <w:pStyle w:val="ListParagraph"/>
        <w:numPr>
          <w:ilvl w:val="0"/>
          <w:numId w:val="2"/>
        </w:numPr>
        <w:spacing w:after="60" w:before="0" w:line="260"/>
      </w:pPr>
      <w:r>
        <w:rPr>
          <w:rFonts w:ascii="Calibri" w:cs="Calibri" w:eastAsia="Calibri" w:hAnsi="Calibri"/>
          <w:color w:val="2A3439"/>
          <w:sz w:val="21"/>
          <w:szCs w:val="21"/>
        </w:rPr>
        <w:t xml:space="preserve">Stack map by job</w:t>
      </w:r>
    </w:p>
    <w:p>
      <w:pPr>
        <w:pStyle w:val="ListParagraph"/>
        <w:numPr>
          <w:ilvl w:val="0"/>
          <w:numId w:val="2"/>
        </w:numPr>
        <w:spacing w:after="60" w:before="0" w:line="260"/>
      </w:pPr>
      <w:r>
        <w:rPr>
          <w:rFonts w:ascii="Calibri" w:cs="Calibri" w:eastAsia="Calibri" w:hAnsi="Calibri"/>
          <w:color w:val="2A3439"/>
          <w:sz w:val="21"/>
          <w:szCs w:val="21"/>
        </w:rPr>
        <w:t xml:space="preserve">90-day purchase freeze, written</w:t>
      </w:r>
    </w:p>
    <w:p>
      <w:pPr>
        <w:pStyle w:val="ListParagraph"/>
        <w:numPr>
          <w:ilvl w:val="0"/>
          <w:numId w:val="2"/>
        </w:numPr>
        <w:spacing w:after="60" w:before="0" w:line="260"/>
      </w:pPr>
      <w:r>
        <w:rPr>
          <w:rFonts w:ascii="Calibri" w:cs="Calibri" w:eastAsia="Calibri" w:hAnsi="Calibri"/>
          <w:color w:val="2A3439"/>
          <w:sz w:val="21"/>
          <w:szCs w:val="21"/>
        </w:rPr>
        <w:t xml:space="preserve">One or two named integration breaks</w:t>
      </w:r>
    </w:p>
    <w:p>
      <w:pPr>
        <w:pStyle w:val="ListParagraph"/>
        <w:numPr>
          <w:ilvl w:val="0"/>
          <w:numId w:val="2"/>
        </w:numPr>
        <w:spacing w:after="60" w:before="0" w:line="260"/>
      </w:pPr>
      <w:r>
        <w:rPr>
          <w:rFonts w:ascii="Calibri" w:cs="Calibri" w:eastAsia="Calibri" w:hAnsi="Calibri"/>
          <w:color w:val="2A3439"/>
          <w:sz w:val="21"/>
          <w:szCs w:val="21"/>
        </w:rPr>
        <w:t xml:space="preserve">Do-not-buy list</w:t>
      </w:r>
    </w:p>
    <w:p>
      <w:pPr>
        <w:pStyle w:val="ListParagraph"/>
        <w:numPr>
          <w:ilvl w:val="0"/>
          <w:numId w:val="2"/>
        </w:numPr>
        <w:spacing w:after="60" w:before="0" w:line="260"/>
      </w:pPr>
      <w:r>
        <w:rPr>
          <w:rFonts w:ascii="Calibri" w:cs="Calibri" w:eastAsia="Calibri" w:hAnsi="Calibri"/>
          <w:color w:val="2A3439"/>
          <w:sz w:val="21"/>
          <w:szCs w:val="21"/>
        </w:rPr>
        <w:t xml:space="preserve">Date for Session 5</w:t>
      </w:r>
    </w:p>
    <w:p>
      <w:pPr>
        <w:pBdr>
          <w:bottom w:val="single" w:color="4F46E5" w:sz="12" w:space="2"/>
        </w:pBdr>
        <w:spacing w:after="80" w:before="280" w:line="276"/>
      </w:pPr>
      <w:r>
        <w:rPr>
          <w:rFonts w:ascii="Calibri" w:cs="Calibri" w:eastAsia="Calibri" w:hAnsi="Calibri"/>
          <w:b/>
          <w:bCs/>
          <w:color w:val="2A3439"/>
          <w:sz w:val="28"/>
          <w:szCs w:val="28"/>
        </w:rPr>
        <w:t xml:space="preserve">If the room derails</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3600"/>
        <w:gridCol w:w="6920"/>
      </w:tblGrid>
      <w:tr>
        <w:tc>
          <w:tcPr>
            <w:tcW w:type="dxa" w:w="36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They say</w:t>
            </w:r>
          </w:p>
        </w:tc>
        <w:tc>
          <w:tcPr>
            <w:tcW w:type="dxa" w:w="69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You say</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Our CRM is the problem.</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Sometimes. Often the CRM is holding three laws. Changing the logo will not merge them.</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A vendor can implement RevOps for us.</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A vendor can implement a tool. They cannot sign your dictionary or your reporting line.</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We already paid for this unused seat.</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Sunk cost is how stacks grow. Unused is a kill candidate, not a reason to find a use.</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IT owns architecture.</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IT owns security and standards. RevOps owns which GTM job a tool is allowed to do. Sit together. Do not outsource the dictionary.</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Let’s evaluate four CRMs.</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Not in this program. Freeze. Fix the joins you have. Revisit platform only if the system of record cannot enforce the page we signed.</w:t>
            </w:r>
          </w:p>
        </w:tc>
      </w:tr>
    </w:tbl>
    <w:p>
      <w:pPr>
        <w:pBdr>
          <w:bottom w:val="single" w:color="4F46E5" w:sz="12" w:space="2"/>
        </w:pBdr>
        <w:spacing w:after="80" w:before="280" w:line="276"/>
      </w:pPr>
      <w:r>
        <w:rPr>
          <w:rFonts w:ascii="Calibri" w:cs="Calibri" w:eastAsia="Calibri" w:hAnsi="Calibri"/>
          <w:b/>
          <w:bCs/>
          <w:color w:val="2A3439"/>
          <w:sz w:val="28"/>
          <w:szCs w:val="28"/>
        </w:rPr>
        <w:t xml:space="preserve">What you will not do in Session 4</w:t>
      </w:r>
    </w:p>
    <w:p>
      <w:pPr>
        <w:pStyle w:val="ListParagraph"/>
        <w:numPr>
          <w:ilvl w:val="0"/>
          <w:numId w:val="2"/>
        </w:numPr>
        <w:spacing w:after="60" w:before="0" w:line="260"/>
      </w:pPr>
      <w:r>
        <w:rPr>
          <w:rFonts w:ascii="Calibri" w:cs="Calibri" w:eastAsia="Calibri" w:hAnsi="Calibri"/>
          <w:color w:val="2A3439"/>
          <w:sz w:val="21"/>
          <w:szCs w:val="21"/>
        </w:rPr>
        <w:t xml:space="preserve">Host a vendor.</w:t>
      </w:r>
    </w:p>
    <w:p>
      <w:pPr>
        <w:pStyle w:val="ListParagraph"/>
        <w:numPr>
          <w:ilvl w:val="0"/>
          <w:numId w:val="2"/>
        </w:numPr>
        <w:spacing w:after="60" w:before="0" w:line="260"/>
      </w:pPr>
      <w:r>
        <w:rPr>
          <w:rFonts w:ascii="Calibri" w:cs="Calibri" w:eastAsia="Calibri" w:hAnsi="Calibri"/>
          <w:color w:val="2A3439"/>
          <w:sz w:val="21"/>
          <w:szCs w:val="21"/>
        </w:rPr>
        <w:t xml:space="preserve">Approve a rip-and-replace.</w:t>
      </w:r>
    </w:p>
    <w:p>
      <w:pPr>
        <w:pStyle w:val="ListParagraph"/>
        <w:numPr>
          <w:ilvl w:val="0"/>
          <w:numId w:val="2"/>
        </w:numPr>
        <w:spacing w:after="60" w:before="0" w:line="260"/>
      </w:pPr>
      <w:r>
        <w:rPr>
          <w:rFonts w:ascii="Calibri" w:cs="Calibri" w:eastAsia="Calibri" w:hAnsi="Calibri"/>
          <w:color w:val="2A3439"/>
          <w:sz w:val="21"/>
          <w:szCs w:val="21"/>
        </w:rPr>
        <w:t xml:space="preserve">Call AI a strategy.</w:t>
      </w:r>
    </w:p>
    <w:p>
      <w:pPr>
        <w:pStyle w:val="ListParagraph"/>
        <w:numPr>
          <w:ilvl w:val="0"/>
          <w:numId w:val="2"/>
        </w:numPr>
        <w:spacing w:after="60" w:before="0" w:line="260"/>
      </w:pPr>
      <w:r>
        <w:rPr>
          <w:rFonts w:ascii="Calibri" w:cs="Calibri" w:eastAsia="Calibri" w:hAnsi="Calibri"/>
          <w:color w:val="2A3439"/>
          <w:sz w:val="21"/>
          <w:szCs w:val="21"/>
        </w:rPr>
        <w:t xml:space="preserve">Leave with a shopping list instead of a freeze.</w:t>
      </w:r>
    </w:p>
    <w:p>
      <w:pPr>
        <w:pBdr>
          <w:bottom w:val="single" w:color="4F46E5" w:sz="12" w:space="2"/>
        </w:pBdr>
        <w:spacing w:after="80" w:before="280" w:line="276"/>
      </w:pPr>
      <w:r>
        <w:rPr>
          <w:rFonts w:ascii="Calibri" w:cs="Calibri" w:eastAsia="Calibri" w:hAnsi="Calibri"/>
          <w:b/>
          <w:bCs/>
          <w:color w:val="2A3439"/>
          <w:sz w:val="28"/>
          <w:szCs w:val="28"/>
        </w:rPr>
        <w:t xml:space="preserve">Success test</w:t>
      </w:r>
    </w:p>
    <w:p>
      <w:pPr>
        <w:spacing w:after="120" w:before="0" w:line="276"/>
      </w:pPr>
      <w:r>
        <w:rPr>
          <w:rFonts w:ascii="Calibri" w:cs="Calibri" w:eastAsia="Calibri" w:hAnsi="Calibri"/>
          <w:color w:val="2A3439"/>
          <w:sz w:val="21"/>
          <w:szCs w:val="21"/>
        </w:rPr>
        <w:t xml:space="preserve">The session worked if net-new GTM buying is frozen in writing, two sources of dual truth are named, and nobody left believing the next action is a demo.</w:t>
      </w:r>
    </w:p>
    <w:sectPr>
      <w:headerReference w:type="default" r:id="rId7"/>
      <w:footerReference w:type="default" r:id="rId8"/>
      <w:pgSz w:w="12240" w:h="15840" w:orient="portrait"/>
      <w:pgMar w:top="860" w:right="860" w:bottom="800" w:left="8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C676C"/>
        <w:sz w:val="15"/>
        <w:szCs w:val="15"/>
      </w:rPr>
      <w:t xml:space="preserve">RevOps  ·  Technology  ·  60–90 minutes  ·  </w:t>
    </w:r>
    <w:r>
      <w:rPr>
        <w:rFonts w:ascii="Calibri" w:cs="Calibri" w:eastAsia="Calibri" w:hAnsi="Calibri"/>
        <w:color w:val="5C676C"/>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rPr>
        <w:rFonts w:ascii="Calibri" w:cs="Calibri" w:eastAsia="Calibri" w:hAnsi="Calibri"/>
        <w:b/>
        <w:bCs/>
        <w:color w:val="2A3439"/>
        <w:sz w:val="15"/>
        <w:szCs w:val="15"/>
      </w:rPr>
      <w:t xml:space="preserve">SESSION 4  ·  SPEAKING SCRIPT</w:t>
    </w:r>
    <w:r>
      <w:rPr>
        <w:rFonts w:ascii="Calibri" w:cs="Calibri" w:eastAsia="Calibri" w:hAnsi="Calibri"/>
        <w:color w:val="5C676C"/>
        <w:sz w:val="15"/>
        <w:szCs w:val="15"/>
      </w:rPr>
      <w:t xml:space="preserve">     Educational resource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2026-09-17T17:17:17.454Z</dcterms:created>
  <dcterms:modified xsi:type="dcterms:W3CDTF">2026-09-17T17:17:17.454Z</dcterms:modified>
</cp:coreProperties>
</file>

<file path=docProps/custom.xml><?xml version="1.0" encoding="utf-8"?>
<Properties xmlns="http://schemas.openxmlformats.org/officeDocument/2006/custom-properties" xmlns:vt="http://schemas.openxmlformats.org/officeDocument/2006/docPropsVTypes"/>
</file>